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5CC2" w14:textId="0B2A5FDB" w:rsidR="005E18CB" w:rsidRDefault="00C11EB4" w:rsidP="00E17F2C">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7" w:history="1">
                              <w:r w:rsidRPr="00D348C0">
                                <w:rPr>
                                  <w:rStyle w:val="Hyperlink"/>
                                </w:rPr>
                                <w:t>using your pupil premium funding effectively</w:t>
                              </w:r>
                            </w:hyperlink>
                            <w:r w:rsidRPr="00D348C0">
                              <w:rPr>
                                <w:bCs/>
                                <w:color w:val="auto"/>
                              </w:rPr>
                              <w:t xml:space="preserve"> and DfE’s </w:t>
                            </w:r>
                            <w:hyperlink r:id="rId8"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5"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fillcolor="#f2f2f2" strokeweight=".26467mm">
                <v:textbo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9" w:history="1">
                        <w:r w:rsidRPr="00D348C0">
                          <w:rPr>
                            <w:rStyle w:val="Hyperlink"/>
                          </w:rPr>
                          <w:t>using your pupil premium funding effectively</w:t>
                        </w:r>
                      </w:hyperlink>
                      <w:r w:rsidRPr="00D348C0">
                        <w:rPr>
                          <w:bCs/>
                          <w:color w:val="auto"/>
                        </w:rPr>
                        <w:t xml:space="preserve"> and DfE’s </w:t>
                      </w:r>
                      <w:hyperlink r:id="rId10"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6"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7" w:name="_Toc338167830"/>
      <w:bookmarkStart w:id="8" w:name="_Toc361136403"/>
      <w:bookmarkStart w:id="9" w:name="_Toc364235708"/>
      <w:bookmarkStart w:id="10" w:name="_Toc364235752"/>
      <w:bookmarkStart w:id="11" w:name="_Toc364235834"/>
      <w:bookmarkStart w:id="12" w:name="_Toc364840099"/>
      <w:bookmarkStart w:id="13" w:name="_Toc364864309"/>
      <w:bookmarkStart w:id="14" w:name="_Toc400361364"/>
      <w:bookmarkStart w:id="15" w:name="_Toc443397154"/>
      <w:bookmarkEnd w:id="0"/>
      <w:bookmarkEnd w:id="1"/>
      <w:r w:rsidR="00226317">
        <w:t xml:space="preserve"> – </w:t>
      </w:r>
      <w:r w:rsidR="00E17F2C">
        <w:t>Highters Heath Community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7"/>
      <w:bookmarkEnd w:id="8"/>
      <w:bookmarkEnd w:id="9"/>
      <w:bookmarkEnd w:id="10"/>
      <w:bookmarkEnd w:id="11"/>
      <w:bookmarkEnd w:id="12"/>
      <w:bookmarkEnd w:id="13"/>
      <w:bookmarkEnd w:id="14"/>
      <w:bookmarkEnd w:id="15"/>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38777E7" w:rsidR="002940F3" w:rsidRDefault="00E17F2C">
            <w:pPr>
              <w:pStyle w:val="TableRow"/>
            </w:pPr>
            <w:r>
              <w:t>17</w:t>
            </w:r>
            <w:r w:rsidR="00455501">
              <w:t>3</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2537526" w:rsidR="002940F3" w:rsidRDefault="00455501">
            <w:pPr>
              <w:pStyle w:val="TableRow"/>
            </w:pPr>
            <w:r>
              <w:t>58</w:t>
            </w:r>
            <w:r w:rsidR="00E17F2C">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3C9FA" w14:textId="6530E0D8" w:rsidR="006F092E" w:rsidRDefault="006F092E">
            <w:pPr>
              <w:pStyle w:val="TableRow"/>
            </w:pPr>
            <w:r>
              <w:t>202</w:t>
            </w:r>
            <w:r w:rsidR="00455501">
              <w:t>4 -</w:t>
            </w:r>
            <w:r w:rsidR="00762E9F">
              <w:t xml:space="preserve"> 2025</w:t>
            </w:r>
          </w:p>
          <w:p w14:paraId="2A7D54BF" w14:textId="5050E1F9" w:rsidR="002940F3" w:rsidRDefault="00E17F2C">
            <w:pPr>
              <w:pStyle w:val="TableRow"/>
            </w:pPr>
            <w:r>
              <w:t>202</w:t>
            </w:r>
            <w:r w:rsidR="006F092E">
              <w:t>2</w:t>
            </w:r>
            <w:r>
              <w:t xml:space="preserve"> - 202</w:t>
            </w:r>
            <w:r w:rsidR="006F092E">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D399A0E" w:rsidR="002940F3" w:rsidRDefault="00E17F2C">
            <w:pPr>
              <w:pStyle w:val="TableRow"/>
            </w:pPr>
            <w:r>
              <w:t>31.12</w:t>
            </w:r>
            <w:r w:rsidR="00762E9F">
              <w:t>.24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3CC2531" w:rsidR="002940F3" w:rsidRDefault="00E17F2C">
            <w:pPr>
              <w:pStyle w:val="TableRow"/>
            </w:pPr>
            <w:r>
              <w:t>01.12.</w:t>
            </w:r>
            <w:r w:rsidR="00762E9F">
              <w:t>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6DC5F79" w:rsidR="002940F3" w:rsidRDefault="00E17F2C">
            <w:pPr>
              <w:pStyle w:val="TableRow"/>
            </w:pPr>
            <w:r>
              <w:t>Julie Aulton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36278E0" w:rsidR="002940F3" w:rsidRDefault="00E17F2C">
            <w:pPr>
              <w:pStyle w:val="TableRow"/>
            </w:pPr>
            <w:r>
              <w:t>Julie Aulton</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FC009AC" w:rsidR="002940F3" w:rsidRDefault="00E17F2C">
            <w:pPr>
              <w:pStyle w:val="TableRow"/>
            </w:pPr>
            <w:r>
              <w:t>Lisa Andrews</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96B4A66" w:rsidR="00E66558" w:rsidRDefault="009D71E8">
            <w:pPr>
              <w:pStyle w:val="TableRow"/>
            </w:pPr>
            <w:r>
              <w:t>£</w:t>
            </w:r>
            <w:r w:rsidR="00E17F2C">
              <w:t>162 960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1BDE848" w:rsidR="00E66558" w:rsidRDefault="009D71E8">
            <w:pPr>
              <w:pStyle w:val="TableRow"/>
            </w:pPr>
            <w:r>
              <w:t>£</w:t>
            </w:r>
            <w:r w:rsidR="00826AC6">
              <w:t>15,950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C7D9D87" w:rsidR="00E66558" w:rsidRDefault="009D71E8">
            <w:pPr>
              <w:pStyle w:val="TableRow"/>
            </w:pPr>
            <w:r>
              <w:t>£</w:t>
            </w:r>
            <w:r w:rsidR="00E17F2C">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70E4D4C" w:rsidR="00E66558" w:rsidRDefault="009D71E8">
            <w:pPr>
              <w:pStyle w:val="TableRow"/>
            </w:pPr>
            <w:r>
              <w:t>£</w:t>
            </w:r>
            <w:r w:rsidR="00826AC6">
              <w:t>178,910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6" w:name="_Toc357771640"/>
      <w:bookmarkStart w:id="17"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74D78" w14:textId="77777777" w:rsidR="000913F4" w:rsidRDefault="000913F4" w:rsidP="000913F4">
            <w:r>
              <w:t xml:space="preserve">Highters Heath Community School is a vibrant and happy school with a hardworking, enthusiastic, and dedicated staff team. We have an established and experienced senior leadership team and a school ethos of high expectations with children and staff at the heart of all we do. </w:t>
            </w:r>
          </w:p>
          <w:p w14:paraId="43A7CA83" w14:textId="14398F80" w:rsidR="000913F4" w:rsidRDefault="000913F4" w:rsidP="000913F4">
            <w:r>
              <w:t xml:space="preserve">We are a </w:t>
            </w:r>
            <w:r w:rsidR="00826AC6">
              <w:t>one</w:t>
            </w:r>
            <w:r>
              <w:t xml:space="preserve">-form entry primary school in </w:t>
            </w:r>
            <w:proofErr w:type="spellStart"/>
            <w:r w:rsidR="00826AC6">
              <w:t>Warstock</w:t>
            </w:r>
            <w:proofErr w:type="spellEnd"/>
            <w:r>
              <w:t>, South Birmingham, in an area of significant deprivation</w:t>
            </w:r>
            <w:r w:rsidR="00B469BA">
              <w:t>.</w:t>
            </w:r>
          </w:p>
          <w:p w14:paraId="7F72BAF4" w14:textId="77777777" w:rsidR="000913F4" w:rsidRDefault="000913F4" w:rsidP="000913F4">
            <w:r>
              <w:t xml:space="preserve">For us, early intervention is key, and we are focusing on language development in all its forms with a clear emphasis on vocabulary, oracy and reading. We are constantly looking to refine and improve practice in this area whilst also providing targeted interventions to struggling learners. We strongly believe our curriculum is our children’s opportunity and we aim to provide the knowledge, skills, and opportunities to create a level playing field and improve the life chances for all our disadvantaged pupils. </w:t>
            </w:r>
          </w:p>
          <w:p w14:paraId="61F48A37" w14:textId="77777777" w:rsidR="000913F4" w:rsidRDefault="000913F4" w:rsidP="000913F4">
            <w:r>
              <w:t xml:space="preserve">We have a strong ethos of inclusion and crucially a compassionate approach towards engaging and supporting our children and parents. There is a collective understanding of the impact of disadvantage on pupils’ learning and staff at every level speak with one voice about our ambition for all our pupils and they all fully understand the part they play in addressing educational disadvantage. </w:t>
            </w:r>
          </w:p>
          <w:p w14:paraId="0CF7DF23" w14:textId="77777777" w:rsidR="000913F4" w:rsidRDefault="000913F4" w:rsidP="000913F4">
            <w:r>
              <w:t xml:space="preserve">Through leadership capacity, there is a sharp focus on the quality of pupils’ learning experiences. Our leadership team play a significant role in evaluating progress through ongoing, and crucially, supportive monitoring and quality assurance, which is purposeful, transparent, and focussed on the main thing, improving teaching and learning. </w:t>
            </w:r>
          </w:p>
          <w:p w14:paraId="27736349" w14:textId="6E109382" w:rsidR="00E66558" w:rsidRDefault="000913F4" w:rsidP="000913F4">
            <w:r>
              <w:t>When making decisions about using Pupil Premium funding it is important to consider the context of the school and the subsequent challenges faced alongside research conducted by the EEF.</w:t>
            </w:r>
          </w:p>
          <w:p w14:paraId="4E525593" w14:textId="77777777" w:rsidR="000913F4" w:rsidRPr="00D836AA" w:rsidRDefault="000913F4" w:rsidP="000913F4">
            <w:pPr>
              <w:spacing w:after="291"/>
              <w:rPr>
                <w:rFonts w:cs="Arial"/>
              </w:rPr>
            </w:pPr>
            <w:r w:rsidRPr="00D836AA">
              <w:rPr>
                <w:rFonts w:eastAsia="Arial" w:cs="Arial"/>
              </w:rPr>
              <w:t xml:space="preserve">Our key principles: </w:t>
            </w:r>
          </w:p>
          <w:p w14:paraId="47A9CC0F" w14:textId="77777777" w:rsidR="000913F4" w:rsidRPr="00D836AA" w:rsidRDefault="000913F4" w:rsidP="000913F4">
            <w:pPr>
              <w:numPr>
                <w:ilvl w:val="0"/>
                <w:numId w:val="15"/>
              </w:numPr>
              <w:suppressAutoHyphens w:val="0"/>
              <w:autoSpaceDN/>
              <w:spacing w:after="0" w:line="307" w:lineRule="auto"/>
              <w:ind w:hanging="360"/>
              <w:rPr>
                <w:rFonts w:cs="Arial"/>
              </w:rPr>
            </w:pPr>
            <w:r w:rsidRPr="00D836AA">
              <w:rPr>
                <w:rFonts w:eastAsia="Arial" w:cs="Arial"/>
              </w:rPr>
              <w:t xml:space="preserve">We will adopt a whole school approach in which all staff take responsibility for disadvantaged children’s outcomes and raise expectations and aspirations.  </w:t>
            </w:r>
          </w:p>
          <w:p w14:paraId="58062541" w14:textId="77777777" w:rsidR="000913F4" w:rsidRPr="00D836AA" w:rsidRDefault="000913F4" w:rsidP="000913F4">
            <w:pPr>
              <w:numPr>
                <w:ilvl w:val="0"/>
                <w:numId w:val="15"/>
              </w:numPr>
              <w:suppressAutoHyphens w:val="0"/>
              <w:autoSpaceDN/>
              <w:spacing w:after="16" w:line="290" w:lineRule="auto"/>
              <w:ind w:hanging="360"/>
              <w:rPr>
                <w:rFonts w:cs="Arial"/>
              </w:rPr>
            </w:pPr>
            <w:r w:rsidRPr="00D836AA">
              <w:rPr>
                <w:rFonts w:eastAsia="Arial" w:cs="Arial"/>
              </w:rPr>
              <w:t xml:space="preserve">We will ensure high-quality teaching and learning is supported through robust research-based approaches in developing both staff and children. </w:t>
            </w:r>
          </w:p>
          <w:p w14:paraId="7ED0053A" w14:textId="77777777" w:rsidR="000913F4" w:rsidRPr="00D836AA" w:rsidRDefault="000913F4" w:rsidP="000913F4">
            <w:pPr>
              <w:numPr>
                <w:ilvl w:val="0"/>
                <w:numId w:val="15"/>
              </w:numPr>
              <w:suppressAutoHyphens w:val="0"/>
              <w:autoSpaceDN/>
              <w:spacing w:after="18"/>
              <w:ind w:hanging="360"/>
              <w:rPr>
                <w:rFonts w:cs="Arial"/>
              </w:rPr>
            </w:pPr>
            <w:r w:rsidRPr="00D836AA">
              <w:rPr>
                <w:rFonts w:eastAsia="Arial" w:cs="Arial"/>
              </w:rPr>
              <w:t xml:space="preserve">We will ensure disadvantaged children are challenged in the learning they are set. </w:t>
            </w:r>
          </w:p>
          <w:p w14:paraId="0D658160" w14:textId="77777777" w:rsidR="000913F4" w:rsidRPr="00692097" w:rsidRDefault="000913F4" w:rsidP="000913F4">
            <w:pPr>
              <w:numPr>
                <w:ilvl w:val="0"/>
                <w:numId w:val="15"/>
              </w:numPr>
              <w:suppressAutoHyphens w:val="0"/>
              <w:autoSpaceDN/>
              <w:spacing w:after="0" w:line="240" w:lineRule="auto"/>
              <w:ind w:hanging="360"/>
              <w:rPr>
                <w:rFonts w:cs="Arial"/>
              </w:rPr>
            </w:pPr>
            <w:r w:rsidRPr="00D836AA">
              <w:rPr>
                <w:rFonts w:eastAsia="Arial" w:cs="Arial"/>
              </w:rPr>
              <w:t>We will ensure wider experiences are available for all disadvantaged children.</w:t>
            </w:r>
          </w:p>
          <w:p w14:paraId="2A7D54E9" w14:textId="174B3968" w:rsidR="000913F4" w:rsidRPr="000913F4" w:rsidRDefault="000913F4" w:rsidP="000913F4">
            <w:pPr>
              <w:rPr>
                <w:i/>
                <w:iCs/>
              </w:rPr>
            </w:pPr>
            <w:r w:rsidRPr="00D836AA">
              <w:rPr>
                <w:rFonts w:eastAsia="Arial" w:cs="Arial"/>
              </w:rPr>
              <w:lastRenderedPageBreak/>
              <w:t xml:space="preserve">We also recognise that not all children who are socially disadvantaged are registered or qualify for free school meals. We reserve the right to allocate the Pupil Premium funding to support and child or group of children the school legitimately identifies as being socially disadvantaged.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0913F4" w14:paraId="2A7D54F2" w14:textId="77777777" w:rsidTr="009043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0913F4" w:rsidRDefault="000913F4" w:rsidP="000913F4">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1" w14:textId="29E6680C" w:rsidR="000913F4" w:rsidRDefault="000913F4" w:rsidP="000913F4">
            <w:pPr>
              <w:pStyle w:val="TableRowCentered"/>
              <w:jc w:val="left"/>
            </w:pPr>
            <w:r>
              <w:rPr>
                <w:rFonts w:eastAsia="Arial" w:cs="Arial"/>
              </w:rPr>
              <w:t xml:space="preserve">MAT disadvantaged review, assessments, observations, and discussions with children indicate low language and communication skills with gaps in vocabulary knowledge. </w:t>
            </w:r>
          </w:p>
        </w:tc>
      </w:tr>
      <w:tr w:rsidR="000913F4" w14:paraId="2A7D54F5" w14:textId="77777777" w:rsidTr="009043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0913F4" w:rsidRDefault="000913F4" w:rsidP="000913F4">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4" w14:textId="0732612A" w:rsidR="000913F4" w:rsidRDefault="000913F4" w:rsidP="000913F4">
            <w:pPr>
              <w:pStyle w:val="TableRowCentered"/>
              <w:jc w:val="left"/>
              <w:rPr>
                <w:sz w:val="22"/>
                <w:szCs w:val="22"/>
              </w:rPr>
            </w:pPr>
            <w:r>
              <w:rPr>
                <w:rFonts w:eastAsia="Arial" w:cs="Arial"/>
              </w:rPr>
              <w:t xml:space="preserve">MAT disadvantaged review, assessments, observations, and discussions with children show a lack in metacognitive skills.  </w:t>
            </w:r>
          </w:p>
        </w:tc>
      </w:tr>
      <w:tr w:rsidR="000913F4" w14:paraId="2A7D54F8" w14:textId="77777777" w:rsidTr="009043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0913F4" w:rsidRDefault="000913F4" w:rsidP="000913F4">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7" w14:textId="32C642B4" w:rsidR="000913F4" w:rsidRDefault="000913F4" w:rsidP="000913F4">
            <w:pPr>
              <w:pStyle w:val="TableRowCentered"/>
              <w:jc w:val="left"/>
              <w:rPr>
                <w:sz w:val="22"/>
                <w:szCs w:val="22"/>
              </w:rPr>
            </w:pPr>
            <w:r>
              <w:rPr>
                <w:rFonts w:eastAsia="Arial" w:cs="Arial"/>
              </w:rPr>
              <w:t xml:space="preserve">Our observations and discussions with children and families have identified social and emotional issues for many of the children.  </w:t>
            </w:r>
          </w:p>
        </w:tc>
      </w:tr>
      <w:tr w:rsidR="000913F4" w14:paraId="2A7D54FB" w14:textId="77777777" w:rsidTr="009043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0913F4" w:rsidRDefault="000913F4" w:rsidP="000913F4">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A" w14:textId="4F9F66C8" w:rsidR="000913F4" w:rsidRDefault="000913F4" w:rsidP="000913F4">
            <w:pPr>
              <w:pStyle w:val="TableRowCentered"/>
              <w:jc w:val="left"/>
              <w:rPr>
                <w:iCs/>
                <w:sz w:val="22"/>
              </w:rPr>
            </w:pPr>
            <w:r>
              <w:rPr>
                <w:rFonts w:eastAsia="Arial" w:cs="Arial"/>
              </w:rPr>
              <w:t>MAT disadvantaged review shows pupils have low cultural capital</w:t>
            </w:r>
            <w:r w:rsidR="004B0FFB">
              <w:rPr>
                <w:rFonts w:eastAsia="Arial" w:cs="Arial"/>
              </w:rPr>
              <w:t xml:space="preserve"> such as a </w:t>
            </w:r>
            <w:r w:rsidR="0053333D">
              <w:rPr>
                <w:rFonts w:eastAsia="Arial" w:cs="Arial"/>
              </w:rPr>
              <w:t>limited experiences to base new learning upon</w:t>
            </w:r>
            <w:r>
              <w:rPr>
                <w:rFonts w:eastAsia="Arial" w:cs="Arial"/>
              </w:rPr>
              <w:t>.</w:t>
            </w:r>
          </w:p>
        </w:tc>
      </w:tr>
      <w:tr w:rsidR="000913F4" w14:paraId="2A7D54FE" w14:textId="77777777" w:rsidTr="009043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0913F4" w:rsidRDefault="000913F4" w:rsidP="000913F4">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4FD" w14:textId="0A2F6EAD" w:rsidR="000913F4" w:rsidRDefault="000913F4" w:rsidP="000913F4">
            <w:pPr>
              <w:ind w:left="58"/>
              <w:rPr>
                <w:iCs/>
                <w:sz w:val="22"/>
              </w:rPr>
            </w:pPr>
            <w:r>
              <w:rPr>
                <w:rFonts w:eastAsia="Arial" w:cs="Arial"/>
              </w:rPr>
              <w:t xml:space="preserve">Attendance data from the academic year 2022-2023 indicated that attendance among disadvantaged children has been lower than for non-disadvantaged children. More of our disadvantaged children have been ‘persistently absent’ compared to their peers during that period. Absenteeism negatively impacts pupil progress.  </w:t>
            </w:r>
          </w:p>
        </w:tc>
      </w:tr>
    </w:tbl>
    <w:p w14:paraId="2A7D54FF" w14:textId="77777777" w:rsidR="00E66558" w:rsidRDefault="009D71E8">
      <w:pPr>
        <w:pStyle w:val="Heading2"/>
        <w:spacing w:before="600"/>
      </w:pPr>
      <w:bookmarkStart w:id="18"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0913F4" w14:paraId="2A7D5506" w14:textId="77777777" w:rsidTr="00BB0AEF">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4" w14:textId="7603C820" w:rsidR="000913F4" w:rsidRDefault="000913F4" w:rsidP="000913F4">
            <w:pPr>
              <w:pStyle w:val="TableRow"/>
            </w:pPr>
            <w:r w:rsidRPr="00AF5C03">
              <w:rPr>
                <w:rFonts w:eastAsia="Arial" w:cs="Arial"/>
              </w:rPr>
              <w:t xml:space="preserve">Improved oral language skills and vocabulary among disadvantaged children.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5" w14:textId="0A2175C7" w:rsidR="000913F4" w:rsidRDefault="000913F4" w:rsidP="000913F4">
            <w:pPr>
              <w:pStyle w:val="TableRowCentered"/>
              <w:jc w:val="left"/>
              <w:rPr>
                <w:sz w:val="22"/>
                <w:szCs w:val="22"/>
              </w:rPr>
            </w:pPr>
            <w:r w:rsidRPr="00AF5C03">
              <w:rPr>
                <w:rFonts w:eastAsia="Arial" w:cs="Arial"/>
              </w:rPr>
              <w:t xml:space="preserve">Assessments and observations indicate improved oral language among disadvantaged children. This is evident when triangulated with other sources of evidence, including engagement in lessons, book scrutiny and ongoing formative assessment. </w:t>
            </w:r>
          </w:p>
        </w:tc>
      </w:tr>
      <w:tr w:rsidR="000913F4" w14:paraId="2A7D5509" w14:textId="77777777" w:rsidTr="00BB0AEF">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7" w14:textId="40B01A66" w:rsidR="000913F4" w:rsidRDefault="000913F4" w:rsidP="000913F4">
            <w:pPr>
              <w:pStyle w:val="TableRow"/>
              <w:rPr>
                <w:sz w:val="22"/>
                <w:szCs w:val="22"/>
              </w:rPr>
            </w:pPr>
            <w:r w:rsidRPr="00AF5C03">
              <w:rPr>
                <w:rFonts w:eastAsia="Arial" w:cs="Arial"/>
              </w:rPr>
              <w:lastRenderedPageBreak/>
              <w:t xml:space="preserve">Improved phonics attainment among disadvantaged children.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8" w14:textId="3EF1A35B" w:rsidR="000913F4" w:rsidRDefault="000913F4" w:rsidP="000913F4">
            <w:pPr>
              <w:pStyle w:val="TableRowCentered"/>
              <w:jc w:val="left"/>
              <w:rPr>
                <w:sz w:val="22"/>
                <w:szCs w:val="22"/>
              </w:rPr>
            </w:pPr>
            <w:r w:rsidRPr="00AF5C03">
              <w:rPr>
                <w:rFonts w:eastAsia="Arial" w:cs="Arial"/>
              </w:rPr>
              <w:t xml:space="preserve">The phonics check will show very little disparity between disadvantaged and non-disadvantaged children. </w:t>
            </w:r>
          </w:p>
        </w:tc>
      </w:tr>
      <w:tr w:rsidR="000913F4" w14:paraId="2A7D550C" w14:textId="77777777" w:rsidTr="00BB0AEF">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A" w14:textId="64AFB5B0" w:rsidR="000913F4" w:rsidRDefault="000913F4" w:rsidP="000913F4">
            <w:pPr>
              <w:pStyle w:val="TableRow"/>
              <w:rPr>
                <w:sz w:val="22"/>
                <w:szCs w:val="22"/>
              </w:rPr>
            </w:pPr>
            <w:r w:rsidRPr="00AF5C03">
              <w:rPr>
                <w:rFonts w:eastAsia="Arial" w:cs="Arial"/>
              </w:rPr>
              <w:t>Imp</w:t>
            </w:r>
            <w:r>
              <w:rPr>
                <w:rFonts w:eastAsia="Arial" w:cs="Arial"/>
              </w:rPr>
              <w:t xml:space="preserve">roved attainment at the end </w:t>
            </w:r>
            <w:r w:rsidR="00425B45">
              <w:rPr>
                <w:rFonts w:eastAsia="Arial" w:cs="Arial"/>
              </w:rPr>
              <w:t>of each Key Stage</w:t>
            </w:r>
            <w:r w:rsidRPr="00AF5C03">
              <w:rPr>
                <w:rFonts w:eastAsia="Arial" w:cs="Arial"/>
              </w:rPr>
              <w:t xml:space="preserve"> in reading, writing and maths, particularly for disadvantaged children.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B" w14:textId="09D2DD38" w:rsidR="000913F4" w:rsidRDefault="000913F4" w:rsidP="000913F4">
            <w:pPr>
              <w:pStyle w:val="TableRowCentered"/>
              <w:jc w:val="left"/>
              <w:rPr>
                <w:sz w:val="22"/>
                <w:szCs w:val="22"/>
              </w:rPr>
            </w:pPr>
            <w:r w:rsidRPr="00AF5C03">
              <w:rPr>
                <w:rFonts w:eastAsia="Arial" w:cs="Arial"/>
              </w:rPr>
              <w:t xml:space="preserve">End of </w:t>
            </w:r>
            <w:r w:rsidR="00425B45">
              <w:rPr>
                <w:rFonts w:eastAsia="Arial" w:cs="Arial"/>
              </w:rPr>
              <w:t>Key Stage</w:t>
            </w:r>
            <w:r w:rsidRPr="00AF5C03">
              <w:rPr>
                <w:rFonts w:eastAsia="Arial" w:cs="Arial"/>
              </w:rPr>
              <w:t xml:space="preserve"> results show more disadvantaged children achieve age related expectations in reading, writing and maths. </w:t>
            </w:r>
          </w:p>
        </w:tc>
      </w:tr>
      <w:tr w:rsidR="000913F4" w14:paraId="2A7D550F" w14:textId="77777777" w:rsidTr="002D2575">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0D" w14:textId="3F494858" w:rsidR="000913F4" w:rsidRDefault="000913F4" w:rsidP="000913F4">
            <w:pPr>
              <w:pStyle w:val="TableRow"/>
              <w:rPr>
                <w:sz w:val="22"/>
                <w:szCs w:val="22"/>
              </w:rPr>
            </w:pPr>
            <w:r w:rsidRPr="00AF5C03">
              <w:rPr>
                <w:rFonts w:eastAsia="Arial" w:cs="Arial"/>
              </w:rPr>
              <w:t xml:space="preserve">To achieve and sustain improved wellbeing for all children in our school, particularly among disadvantaged children.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93660" w14:textId="77777777" w:rsidR="000913F4" w:rsidRPr="00AF5C03" w:rsidRDefault="000913F4" w:rsidP="000913F4">
            <w:pPr>
              <w:spacing w:after="85"/>
            </w:pPr>
            <w:r w:rsidRPr="00AF5C03">
              <w:rPr>
                <w:rFonts w:eastAsia="Arial" w:cs="Arial"/>
              </w:rPr>
              <w:t xml:space="preserve">Sustain high levels of wellbeing from 2024- 25 demonstrated by:  </w:t>
            </w:r>
          </w:p>
          <w:p w14:paraId="2A7D550E" w14:textId="2044EA20" w:rsidR="000913F4" w:rsidRDefault="000913F4" w:rsidP="00425B45">
            <w:pPr>
              <w:pStyle w:val="TableRowCentered"/>
              <w:ind w:left="0"/>
              <w:jc w:val="left"/>
              <w:rPr>
                <w:sz w:val="22"/>
                <w:szCs w:val="22"/>
              </w:rPr>
            </w:pPr>
            <w:r w:rsidRPr="00AF5C03">
              <w:rPr>
                <w:rFonts w:eastAsia="Arial" w:cs="Arial"/>
              </w:rPr>
              <w:t xml:space="preserve">Qualitative data from child and parent surveys and teacher observations. </w:t>
            </w:r>
          </w:p>
        </w:tc>
      </w:tr>
      <w:tr w:rsidR="000913F4" w14:paraId="5D7D9A5E" w14:textId="77777777" w:rsidTr="002D2575">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EABC6" w14:textId="4E6AB6CE" w:rsidR="000913F4" w:rsidRDefault="000913F4" w:rsidP="000913F4">
            <w:pPr>
              <w:pStyle w:val="TableRow"/>
              <w:rPr>
                <w:sz w:val="22"/>
                <w:szCs w:val="22"/>
              </w:rPr>
            </w:pPr>
            <w:r w:rsidRPr="00AF5C03">
              <w:rPr>
                <w:rFonts w:eastAsia="Arial" w:cs="Arial"/>
              </w:rPr>
              <w:t xml:space="preserve">To achieve and sustain improved attendance for all children, particularly our disadvantaged children. </w:t>
            </w:r>
          </w:p>
        </w:tc>
        <w:tc>
          <w:tcPr>
            <w:tcW w:w="4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3E8E1" w14:textId="7F794E88" w:rsidR="000913F4" w:rsidRPr="00AF5C03" w:rsidRDefault="000913F4" w:rsidP="00425B45">
            <w:pPr>
              <w:suppressAutoHyphens w:val="0"/>
              <w:autoSpaceDN/>
              <w:spacing w:after="60" w:line="240" w:lineRule="auto"/>
              <w:ind w:right="19"/>
            </w:pPr>
            <w:r w:rsidRPr="00AF5C03">
              <w:rPr>
                <w:rFonts w:eastAsia="Arial" w:cs="Arial"/>
              </w:rPr>
              <w:t>The overall absence rate for all children being no more than the national average, and the attendance gap between disadvantaged children and non-disadvantaged children is reduced from the 202</w:t>
            </w:r>
            <w:r w:rsidR="00EF3C8F">
              <w:rPr>
                <w:rFonts w:eastAsia="Arial" w:cs="Arial"/>
              </w:rPr>
              <w:t>2</w:t>
            </w:r>
            <w:r w:rsidRPr="00AF5C03">
              <w:rPr>
                <w:rFonts w:eastAsia="Arial" w:cs="Arial"/>
              </w:rPr>
              <w:t xml:space="preserve"> - 202</w:t>
            </w:r>
            <w:r w:rsidR="00EF3C8F">
              <w:rPr>
                <w:rFonts w:eastAsia="Arial" w:cs="Arial"/>
              </w:rPr>
              <w:t>3</w:t>
            </w:r>
            <w:r w:rsidRPr="00AF5C03">
              <w:rPr>
                <w:rFonts w:eastAsia="Arial" w:cs="Arial"/>
              </w:rPr>
              <w:t xml:space="preserve"> figure.  </w:t>
            </w:r>
          </w:p>
          <w:p w14:paraId="06509C02" w14:textId="1E39FD19" w:rsidR="000913F4" w:rsidRDefault="000913F4" w:rsidP="00425B45">
            <w:pPr>
              <w:pStyle w:val="TableRowCentered"/>
              <w:ind w:left="0"/>
              <w:jc w:val="left"/>
              <w:rPr>
                <w:sz w:val="22"/>
                <w:szCs w:val="22"/>
              </w:rPr>
            </w:pPr>
            <w:r w:rsidRPr="00AF5C03">
              <w:rPr>
                <w:rFonts w:eastAsia="Arial" w:cs="Arial"/>
              </w:rPr>
              <w:t xml:space="preserve">The percentage of all children who are persistently absent being below the national average and the gap between disadvantaged children and their peers reducing. </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3196EED" w:rsidR="00E66558" w:rsidRDefault="009D71E8">
      <w:r>
        <w:t>Budgeted cost: £</w:t>
      </w:r>
      <w:r w:rsidR="007B5ED9">
        <w:t>95,950</w:t>
      </w:r>
    </w:p>
    <w:tbl>
      <w:tblPr>
        <w:tblW w:w="5152" w:type="pct"/>
        <w:tblInd w:w="-289" w:type="dxa"/>
        <w:tblCellMar>
          <w:left w:w="10" w:type="dxa"/>
          <w:right w:w="10" w:type="dxa"/>
        </w:tblCellMar>
        <w:tblLook w:val="04A0" w:firstRow="1" w:lastRow="0" w:firstColumn="1" w:lastColumn="0" w:noHBand="0" w:noVBand="1"/>
      </w:tblPr>
      <w:tblGrid>
        <w:gridCol w:w="2977"/>
        <w:gridCol w:w="4253"/>
        <w:gridCol w:w="2544"/>
      </w:tblGrid>
      <w:tr w:rsidR="00E66558" w14:paraId="2A7D5519" w14:textId="77777777" w:rsidTr="00EF3C8F">
        <w:tc>
          <w:tcPr>
            <w:tcW w:w="29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F3C8F" w14:paraId="2A7D551D" w14:textId="77777777" w:rsidTr="00EF3C8F">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455EA" w14:textId="487E7BF7" w:rsidR="00EF3C8F" w:rsidRPr="00AF5C03" w:rsidRDefault="00EF3C8F" w:rsidP="00EF3C8F">
            <w:pPr>
              <w:pStyle w:val="ListParagraph"/>
              <w:numPr>
                <w:ilvl w:val="0"/>
                <w:numId w:val="19"/>
              </w:numPr>
              <w:spacing w:line="253" w:lineRule="auto"/>
            </w:pPr>
            <w:r w:rsidRPr="00EF3C8F">
              <w:rPr>
                <w:rFonts w:eastAsia="Arial" w:cs="Arial"/>
              </w:rPr>
              <w:t>Excellent teaching in all year groups. Priority as all children achieve best through effective class teaching, linked to school development plan</w:t>
            </w:r>
          </w:p>
          <w:p w14:paraId="7496C8FB" w14:textId="0E955B8B" w:rsidR="00EF3C8F" w:rsidRPr="00EF3C8F" w:rsidRDefault="00EF3C8F" w:rsidP="002F0770">
            <w:pPr>
              <w:pStyle w:val="ListParagraph"/>
              <w:numPr>
                <w:ilvl w:val="0"/>
                <w:numId w:val="19"/>
              </w:numPr>
              <w:rPr>
                <w:rFonts w:eastAsia="Arial" w:cs="Arial"/>
              </w:rPr>
            </w:pPr>
            <w:r w:rsidRPr="00EF3C8F">
              <w:rPr>
                <w:rFonts w:eastAsia="Arial" w:cs="Arial"/>
              </w:rPr>
              <w:lastRenderedPageBreak/>
              <w:t xml:space="preserve">Use of CPL approach based on </w:t>
            </w:r>
            <w:proofErr w:type="spellStart"/>
            <w:r w:rsidRPr="00EF3C8F">
              <w:rPr>
                <w:rFonts w:eastAsia="Arial" w:cs="Arial"/>
              </w:rPr>
              <w:t>Rosenshine’s</w:t>
            </w:r>
            <w:proofErr w:type="spellEnd"/>
            <w:r w:rsidRPr="00EF3C8F">
              <w:rPr>
                <w:rFonts w:eastAsia="Arial" w:cs="Arial"/>
              </w:rPr>
              <w:t xml:space="preserve"> Principles of Instruction </w:t>
            </w:r>
            <w:r w:rsidR="0053333D">
              <w:rPr>
                <w:rFonts w:eastAsia="Arial" w:cs="Arial"/>
              </w:rPr>
              <w:t xml:space="preserve">and Walk </w:t>
            </w:r>
            <w:proofErr w:type="spellStart"/>
            <w:r w:rsidR="0053333D">
              <w:rPr>
                <w:rFonts w:eastAsia="Arial" w:cs="Arial"/>
              </w:rPr>
              <w:t>Thrus</w:t>
            </w:r>
            <w:proofErr w:type="spellEnd"/>
          </w:p>
          <w:p w14:paraId="6F97A67D" w14:textId="372CC695" w:rsidR="00EF3C8F" w:rsidRPr="00AF5C03" w:rsidRDefault="00EF3C8F" w:rsidP="00EF3C8F">
            <w:pPr>
              <w:pStyle w:val="ListParagraph"/>
              <w:numPr>
                <w:ilvl w:val="0"/>
                <w:numId w:val="19"/>
              </w:numPr>
              <w:suppressAutoHyphens w:val="0"/>
              <w:autoSpaceDN/>
              <w:spacing w:after="60" w:line="259" w:lineRule="auto"/>
            </w:pPr>
            <w:r w:rsidRPr="00EF3C8F">
              <w:rPr>
                <w:rFonts w:eastAsia="Arial" w:cs="Arial"/>
              </w:rPr>
              <w:t xml:space="preserve">Leadership release time to support planning and paired teaching  </w:t>
            </w:r>
          </w:p>
          <w:p w14:paraId="27DAF562" w14:textId="77777777" w:rsidR="00EF3C8F" w:rsidRPr="00FF0A51" w:rsidRDefault="00EF3C8F" w:rsidP="00EF3C8F">
            <w:pPr>
              <w:pStyle w:val="ListParagraph"/>
              <w:numPr>
                <w:ilvl w:val="0"/>
                <w:numId w:val="19"/>
              </w:numPr>
              <w:suppressAutoHyphens w:val="0"/>
              <w:autoSpaceDN/>
              <w:spacing w:after="40" w:line="257" w:lineRule="auto"/>
            </w:pPr>
            <w:r w:rsidRPr="00EF3C8F">
              <w:rPr>
                <w:rFonts w:eastAsia="Arial" w:cs="Arial"/>
              </w:rPr>
              <w:t>Cover for supported observations</w:t>
            </w:r>
          </w:p>
          <w:p w14:paraId="160480B4" w14:textId="10C1F75E" w:rsidR="00EF3C8F" w:rsidRPr="00AF5C03" w:rsidRDefault="00EF3C8F" w:rsidP="00EF3C8F">
            <w:pPr>
              <w:pStyle w:val="ListParagraph"/>
              <w:numPr>
                <w:ilvl w:val="0"/>
                <w:numId w:val="19"/>
              </w:numPr>
              <w:suppressAutoHyphens w:val="0"/>
              <w:autoSpaceDN/>
              <w:spacing w:after="40" w:line="257" w:lineRule="auto"/>
            </w:pPr>
            <w:r w:rsidRPr="00EF3C8F">
              <w:rPr>
                <w:rFonts w:eastAsia="Arial" w:cs="Arial"/>
              </w:rPr>
              <w:t xml:space="preserve">Coaching for all teachers  </w:t>
            </w:r>
          </w:p>
          <w:p w14:paraId="45CA3389" w14:textId="5AFD016E" w:rsidR="00EF3C8F" w:rsidRPr="00AF5C03" w:rsidRDefault="00EF3C8F" w:rsidP="00EF3C8F">
            <w:pPr>
              <w:pStyle w:val="ListParagraph"/>
              <w:numPr>
                <w:ilvl w:val="0"/>
                <w:numId w:val="19"/>
              </w:numPr>
              <w:suppressAutoHyphens w:val="0"/>
              <w:autoSpaceDN/>
              <w:spacing w:after="100" w:line="241" w:lineRule="auto"/>
            </w:pPr>
            <w:r w:rsidRPr="00EF3C8F">
              <w:rPr>
                <w:rFonts w:eastAsia="Arial" w:cs="Arial"/>
              </w:rPr>
              <w:t>Improve subject knowledge</w:t>
            </w:r>
          </w:p>
          <w:p w14:paraId="44BAF3EC" w14:textId="77777777" w:rsidR="00EF3C8F" w:rsidRDefault="00EF3C8F" w:rsidP="00AD59F3">
            <w:pPr>
              <w:pStyle w:val="ListParagraph"/>
              <w:numPr>
                <w:ilvl w:val="0"/>
                <w:numId w:val="19"/>
              </w:numPr>
              <w:suppressAutoHyphens w:val="0"/>
              <w:autoSpaceDN/>
              <w:spacing w:after="160" w:line="257" w:lineRule="auto"/>
              <w:rPr>
                <w:rFonts w:eastAsia="Arial" w:cs="Arial"/>
              </w:rPr>
            </w:pPr>
            <w:r w:rsidRPr="00EF3C8F">
              <w:rPr>
                <w:rFonts w:eastAsia="Arial" w:cs="Arial"/>
              </w:rPr>
              <w:t>Planning clinics</w:t>
            </w:r>
          </w:p>
          <w:p w14:paraId="2A7D551A" w14:textId="532C70C9" w:rsidR="00EF3C8F" w:rsidRDefault="00EF3C8F" w:rsidP="00EF3C8F">
            <w:pPr>
              <w:pStyle w:val="ListParagraph"/>
              <w:numPr>
                <w:ilvl w:val="0"/>
                <w:numId w:val="19"/>
              </w:numPr>
              <w:suppressAutoHyphens w:val="0"/>
              <w:autoSpaceDN/>
              <w:spacing w:after="160" w:line="257" w:lineRule="auto"/>
            </w:pPr>
            <w:r w:rsidRPr="00EF3C8F">
              <w:rPr>
                <w:rFonts w:eastAsia="Arial" w:cs="Arial"/>
              </w:rPr>
              <w:t>Improve children’s metacognition to develop resilience and independence.</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23197" w14:textId="77777777" w:rsidR="00EF3C8F" w:rsidRPr="00AF5C03" w:rsidRDefault="00EF3C8F" w:rsidP="00EF3C8F">
            <w:pPr>
              <w:spacing w:after="60"/>
              <w:ind w:left="59"/>
            </w:pPr>
            <w:r w:rsidRPr="00AF5C03">
              <w:rPr>
                <w:rFonts w:eastAsia="Arial" w:cs="Arial"/>
              </w:rPr>
              <w:lastRenderedPageBreak/>
              <w:t xml:space="preserve">There is strong evidence that supporting high quality teaching is pivotal in improving children’s outcomes. Research tells us that high quality teaching can narrow the disadvantage gap. It also says that promoting effective professional development improves classroom practice and pupil outcomes. </w:t>
            </w:r>
          </w:p>
          <w:p w14:paraId="7C455062" w14:textId="77777777" w:rsidR="00EF3C8F" w:rsidRPr="00AF5C03" w:rsidRDefault="00EF3C8F" w:rsidP="00EF3C8F">
            <w:pPr>
              <w:spacing w:after="38"/>
              <w:ind w:left="59"/>
            </w:pPr>
            <w:r w:rsidRPr="00AF5C03">
              <w:rPr>
                <w:rFonts w:eastAsia="Arial" w:cs="Arial"/>
              </w:rPr>
              <w:lastRenderedPageBreak/>
              <w:t xml:space="preserve"> </w:t>
            </w:r>
          </w:p>
          <w:p w14:paraId="2A7D551B" w14:textId="0A29BA56" w:rsidR="00EF3C8F" w:rsidRDefault="00EF3C8F" w:rsidP="00EF3C8F">
            <w:pPr>
              <w:pStyle w:val="TableRowCentered"/>
              <w:jc w:val="left"/>
              <w:rPr>
                <w:sz w:val="22"/>
              </w:rPr>
            </w:pPr>
            <w:r w:rsidRPr="00AF5C03">
              <w:rPr>
                <w:rFonts w:eastAsia="Arial" w:cs="Arial"/>
              </w:rPr>
              <w:t xml:space="preserve">EEF statement on closing the disadvantage gap using </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1C" w14:textId="7DDE3D18" w:rsidR="00EF3C8F" w:rsidRDefault="00EF3C8F" w:rsidP="00EF3C8F">
            <w:pPr>
              <w:pStyle w:val="TableRowCentered"/>
              <w:jc w:val="left"/>
              <w:rPr>
                <w:sz w:val="22"/>
              </w:rPr>
            </w:pPr>
            <w:r w:rsidRPr="00AF5C03">
              <w:rPr>
                <w:rFonts w:eastAsia="Arial" w:cs="Arial"/>
              </w:rPr>
              <w:lastRenderedPageBreak/>
              <w:t xml:space="preserve">1, 2, 3, 4 </w:t>
            </w:r>
          </w:p>
        </w:tc>
      </w:tr>
      <w:tr w:rsidR="00EF3C8F" w14:paraId="2A7D5521" w14:textId="77777777" w:rsidTr="00EF3C8F">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95BD" w14:textId="47A764FB" w:rsidR="00EF3C8F" w:rsidRDefault="00EF3C8F" w:rsidP="00EF3C8F">
            <w:pPr>
              <w:ind w:left="80" w:right="6"/>
              <w:rPr>
                <w:rFonts w:eastAsia="Arial" w:cs="Arial"/>
              </w:rPr>
            </w:pPr>
            <w:r w:rsidRPr="00AF5C03">
              <w:rPr>
                <w:rFonts w:eastAsia="Arial" w:cs="Arial"/>
              </w:rPr>
              <w:t>Use of oracy to improve language and vocabulary for all to raise attainment in all subjects Priority identified as many children arrive at school with lower</w:t>
            </w:r>
            <w:r>
              <w:rPr>
                <w:rFonts w:eastAsia="Arial" w:cs="Arial"/>
              </w:rPr>
              <w:t xml:space="preserve"> </w:t>
            </w:r>
            <w:r w:rsidRPr="00AF5C03">
              <w:rPr>
                <w:rFonts w:eastAsia="Arial" w:cs="Arial"/>
              </w:rPr>
              <w:t xml:space="preserve">than-average communication and language skills, many children disadvantaged through language poor backgrounds. </w:t>
            </w:r>
          </w:p>
          <w:p w14:paraId="1B42D2A1" w14:textId="77777777" w:rsidR="00EF3C8F" w:rsidRPr="00EF3C8F" w:rsidRDefault="00EF3C8F" w:rsidP="00EF3C8F">
            <w:pPr>
              <w:pStyle w:val="ListParagraph"/>
              <w:numPr>
                <w:ilvl w:val="0"/>
                <w:numId w:val="21"/>
              </w:numPr>
              <w:spacing w:line="250" w:lineRule="auto"/>
              <w:ind w:right="191"/>
              <w:rPr>
                <w:iCs/>
                <w:sz w:val="22"/>
              </w:rPr>
            </w:pPr>
            <w:r w:rsidRPr="00EF3C8F">
              <w:rPr>
                <w:rFonts w:eastAsia="Arial" w:cs="Arial"/>
              </w:rPr>
              <w:t xml:space="preserve">Focus in EYFS to on language development for all  </w:t>
            </w:r>
          </w:p>
          <w:p w14:paraId="2A7D551E" w14:textId="7A61F6B7" w:rsidR="00EF3C8F" w:rsidRPr="00EF3C8F" w:rsidRDefault="00EF3C8F" w:rsidP="00EF3C8F">
            <w:pPr>
              <w:pStyle w:val="ListParagraph"/>
              <w:numPr>
                <w:ilvl w:val="0"/>
                <w:numId w:val="21"/>
              </w:numPr>
              <w:spacing w:line="250" w:lineRule="auto"/>
              <w:ind w:right="191"/>
              <w:rPr>
                <w:iCs/>
                <w:sz w:val="22"/>
              </w:rPr>
            </w:pPr>
            <w:r w:rsidRPr="00AF5C03">
              <w:rPr>
                <w:rFonts w:eastAsia="Arial" w:cs="Arial"/>
              </w:rPr>
              <w:t xml:space="preserve">Oracy taught throughout the school to improve children’s </w:t>
            </w:r>
            <w:r w:rsidRPr="00AF5C03">
              <w:rPr>
                <w:rFonts w:eastAsia="Arial" w:cs="Arial"/>
              </w:rPr>
              <w:lastRenderedPageBreak/>
              <w:t>communication skill</w:t>
            </w:r>
            <w:r>
              <w:rPr>
                <w:rFonts w:eastAsia="Arial" w:cs="Arial"/>
              </w:rPr>
              <w:t>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89A1" w14:textId="4E3CF7D3" w:rsidR="00EF3C8F" w:rsidRPr="00AF5C03" w:rsidRDefault="00EF3C8F" w:rsidP="00EF3C8F">
            <w:pPr>
              <w:spacing w:after="286"/>
            </w:pPr>
            <w:r>
              <w:rPr>
                <w:rFonts w:eastAsia="Arial" w:cs="Arial"/>
              </w:rPr>
              <w:lastRenderedPageBreak/>
              <w:t xml:space="preserve">EEF statement on closing the disadvantage gap using Oral </w:t>
            </w:r>
            <w:r w:rsidRPr="00AF5C03">
              <w:rPr>
                <w:rFonts w:eastAsia="Arial" w:cs="Arial"/>
              </w:rPr>
              <w:t xml:space="preserve">Language Interventions: There is    evidence to suggest that pupils from lower socioeconomic backgrounds are more likely to be behind their more advantaged counterparts in   developing early language and speech skills, which may affect their school experience and learning later in their school lives. </w:t>
            </w:r>
          </w:p>
          <w:p w14:paraId="6FCEAA46" w14:textId="77777777" w:rsidR="00EF3C8F" w:rsidRPr="00AF5C03" w:rsidRDefault="00EF3C8F" w:rsidP="00EF3C8F">
            <w:r w:rsidRPr="00AF5C03">
              <w:rPr>
                <w:rFonts w:eastAsia="Arial" w:cs="Arial"/>
              </w:rPr>
              <w:t xml:space="preserve">Given that Oral Language                 Interventions can be used to provide additional support to pupils who are behind their peers in oral language development, the targeted use of   approaches may support some      </w:t>
            </w:r>
          </w:p>
          <w:p w14:paraId="2A7D551F" w14:textId="66672687" w:rsidR="00EF3C8F" w:rsidRDefault="00EF3C8F" w:rsidP="00EF3C8F">
            <w:pPr>
              <w:pStyle w:val="TableRowCentered"/>
              <w:jc w:val="left"/>
              <w:rPr>
                <w:sz w:val="22"/>
              </w:rPr>
            </w:pPr>
            <w:r w:rsidRPr="00AF5C03">
              <w:rPr>
                <w:rFonts w:eastAsia="Arial" w:cs="Arial"/>
              </w:rPr>
              <w:t>disadvantaged pupils to catch up with</w:t>
            </w:r>
            <w:r>
              <w:rPr>
                <w:rFonts w:eastAsia="Arial" w:cs="Arial"/>
              </w:rPr>
              <w:t xml:space="preserve"> their peers, particularly when this is provided one-to-one.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5C5F7E1" w:rsidR="00EF3C8F" w:rsidRDefault="00EF3C8F" w:rsidP="00EF3C8F">
            <w:pPr>
              <w:pStyle w:val="TableRowCentered"/>
              <w:jc w:val="left"/>
              <w:rPr>
                <w:sz w:val="22"/>
              </w:rPr>
            </w:pPr>
            <w:r>
              <w:rPr>
                <w:sz w:val="22"/>
              </w:rPr>
              <w:t>1</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6486D78" w:rsidR="00E66558" w:rsidRDefault="009D71E8">
      <w:r>
        <w:t>Budgeted cost: £</w:t>
      </w:r>
      <w:r w:rsidR="007B5ED9">
        <w:t>60,660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702FF" w14:paraId="2A7D552C" w14:textId="77777777" w:rsidTr="007B0246">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F1427" w14:textId="77777777" w:rsidR="009702FF" w:rsidRPr="00AF5C03" w:rsidRDefault="009702FF" w:rsidP="009702FF">
            <w:pPr>
              <w:spacing w:after="60"/>
              <w:ind w:left="3" w:right="51"/>
            </w:pPr>
            <w:r w:rsidRPr="00AF5C03">
              <w:rPr>
                <w:rFonts w:eastAsia="Arial" w:cs="Arial"/>
              </w:rPr>
              <w:t xml:space="preserve">To reduce number of disadvantaged children assessed to be working at SEND Universal Provision Priority identified as percentage of disadvantaged children with identified SEND is higher than the percentage of disadvantaged children in school.  </w:t>
            </w:r>
          </w:p>
          <w:p w14:paraId="3B64F6C2" w14:textId="4D632181" w:rsidR="009702FF" w:rsidRPr="00AF5C03" w:rsidRDefault="009702FF" w:rsidP="00425B45">
            <w:pPr>
              <w:pStyle w:val="ListParagraph"/>
              <w:numPr>
                <w:ilvl w:val="0"/>
                <w:numId w:val="33"/>
              </w:numPr>
              <w:suppressAutoHyphens w:val="0"/>
              <w:autoSpaceDN/>
              <w:spacing w:after="60" w:line="240" w:lineRule="auto"/>
            </w:pPr>
            <w:proofErr w:type="spellStart"/>
            <w:r w:rsidRPr="00425B45">
              <w:rPr>
                <w:rFonts w:eastAsia="Arial" w:cs="Arial"/>
              </w:rPr>
              <w:t>Wellcomm</w:t>
            </w:r>
            <w:proofErr w:type="spellEnd"/>
            <w:r w:rsidRPr="00425B45">
              <w:rPr>
                <w:rFonts w:eastAsia="Arial" w:cs="Arial"/>
              </w:rPr>
              <w:t xml:space="preserve"> assessments and interventions to take place in EYFS and Y1 as appropriate </w:t>
            </w:r>
          </w:p>
          <w:p w14:paraId="2A7D5529" w14:textId="2B5B3B1B" w:rsidR="009702FF" w:rsidRDefault="009702FF" w:rsidP="00425B45">
            <w:pPr>
              <w:pStyle w:val="TableRow"/>
              <w:numPr>
                <w:ilvl w:val="0"/>
                <w:numId w:val="33"/>
              </w:numPr>
            </w:pPr>
            <w:r w:rsidRPr="00AF5C03">
              <w:rPr>
                <w:rFonts w:eastAsia="Arial" w:cs="Arial"/>
              </w:rPr>
              <w:t>Small group phonic intervention as needed</w:t>
            </w:r>
            <w:r>
              <w:rPr>
                <w:rFonts w:eastAsia="Arial" w:cs="Arial"/>
              </w:rPr>
              <w:t>.</w:t>
            </w:r>
            <w:r w:rsidRPr="00AF5C03">
              <w:rPr>
                <w:rFonts w:eastAsia="Arial" w:cs="Arial"/>
                <w:i/>
              </w:rPr>
              <w:t xml:space="preserve">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8BBAA" w14:textId="77777777" w:rsidR="009702FF" w:rsidRPr="00AF5C03" w:rsidRDefault="009702FF" w:rsidP="009702FF">
            <w:pPr>
              <w:spacing w:after="60"/>
              <w:ind w:left="3" w:right="22"/>
            </w:pPr>
            <w:r w:rsidRPr="00AF5C03">
              <w:rPr>
                <w:rFonts w:eastAsia="Arial" w:cs="Arial"/>
              </w:rPr>
              <w:t>There is strong evidence that suggests that oral language and synthetic phonic interventions, including activities such as high</w:t>
            </w:r>
            <w:r>
              <w:rPr>
                <w:rFonts w:eastAsia="Arial" w:cs="Arial"/>
              </w:rPr>
              <w:t>-quality</w:t>
            </w:r>
            <w:r w:rsidRPr="00AF5C03">
              <w:rPr>
                <w:rFonts w:eastAsia="Arial" w:cs="Arial"/>
              </w:rPr>
              <w:t xml:space="preserve"> classroom discussion, are inexpensive to implement and have a high impact on attainment. </w:t>
            </w:r>
          </w:p>
          <w:p w14:paraId="70445E05" w14:textId="77777777" w:rsidR="009702FF" w:rsidRPr="00AF5C03" w:rsidRDefault="009702FF" w:rsidP="009702FF">
            <w:pPr>
              <w:spacing w:after="38"/>
              <w:ind w:left="3"/>
            </w:pPr>
            <w:r w:rsidRPr="00AF5C03">
              <w:rPr>
                <w:rFonts w:eastAsia="Arial" w:cs="Arial"/>
              </w:rPr>
              <w:t xml:space="preserve"> </w:t>
            </w:r>
          </w:p>
          <w:p w14:paraId="2A7D552A" w14:textId="09D7C9ED" w:rsidR="009702FF" w:rsidRDefault="009702FF" w:rsidP="009702FF">
            <w:pPr>
              <w:rPr>
                <w:sz w:val="22"/>
              </w:rPr>
            </w:pPr>
            <w:r w:rsidRPr="00AF5C03">
              <w:rPr>
                <w:rFonts w:eastAsia="Arial" w:cs="Arial"/>
              </w:rPr>
              <w:t xml:space="preserve">EEF statement on closing the        disadvantage gap using Phonics: Studies in England have shown that pupils eligible for free school meals typically receive similar or slightly greater benefit from phonics interventions and approaches. This is likely to be due to the </w:t>
            </w:r>
            <w:r w:rsidRPr="00AF5C03">
              <w:rPr>
                <w:rFonts w:eastAsia="Arial" w:cs="Arial"/>
                <w:bdr w:val="single" w:sz="4" w:space="0" w:color="EEEEEE"/>
              </w:rPr>
              <w:t>explicit</w:t>
            </w:r>
            <w:r w:rsidRPr="00AF5C03">
              <w:rPr>
                <w:rFonts w:eastAsia="Arial" w:cs="Arial"/>
              </w:rPr>
              <w:t xml:space="preserve"> nature of the instruction and the intensive support provided. </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2B" w14:textId="22BFBACE" w:rsidR="009702FF" w:rsidRDefault="009702FF" w:rsidP="009702FF">
            <w:pPr>
              <w:pStyle w:val="TableRowCentered"/>
              <w:jc w:val="left"/>
              <w:rPr>
                <w:sz w:val="22"/>
              </w:rPr>
            </w:pPr>
            <w:r>
              <w:rPr>
                <w:rFonts w:eastAsia="Arial" w:cs="Arial"/>
              </w:rPr>
              <w:t>1</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6F4D94E" w:rsidR="00E66558" w:rsidRDefault="009D71E8">
      <w:pPr>
        <w:spacing w:before="240" w:after="120"/>
      </w:pPr>
      <w:r>
        <w:t>Budgeted cost: £</w:t>
      </w:r>
      <w:r w:rsidR="007B5ED9">
        <w:t>22,300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702FF" w14:paraId="2A7D553B" w14:textId="77777777" w:rsidTr="00B70426">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97C41" w14:textId="5CC85724" w:rsidR="009702FF" w:rsidRDefault="009702FF" w:rsidP="009702FF">
            <w:pPr>
              <w:ind w:right="31"/>
              <w:rPr>
                <w:rFonts w:eastAsia="Arial" w:cs="Arial"/>
              </w:rPr>
            </w:pPr>
            <w:r>
              <w:rPr>
                <w:rFonts w:eastAsia="Arial" w:cs="Arial"/>
              </w:rPr>
              <w:lastRenderedPageBreak/>
              <w:t>Attendance Lead</w:t>
            </w:r>
            <w:r w:rsidRPr="00AF5C03">
              <w:rPr>
                <w:rFonts w:eastAsia="Arial" w:cs="Arial"/>
              </w:rPr>
              <w:t xml:space="preserve"> to support families with attendance and acute need</w:t>
            </w:r>
            <w:r>
              <w:rPr>
                <w:rFonts w:eastAsia="Arial" w:cs="Arial"/>
              </w:rPr>
              <w:t>.</w:t>
            </w:r>
          </w:p>
          <w:p w14:paraId="57924E67" w14:textId="77777777" w:rsidR="009702FF" w:rsidRDefault="009702FF" w:rsidP="009702FF">
            <w:pPr>
              <w:pStyle w:val="TableRow"/>
              <w:rPr>
                <w:rFonts w:eastAsia="Arial" w:cs="Arial"/>
              </w:rPr>
            </w:pPr>
            <w:r w:rsidRPr="00AF5C03">
              <w:rPr>
                <w:rFonts w:eastAsia="Arial" w:cs="Arial"/>
              </w:rPr>
              <w:t xml:space="preserve">Priority identified as overall school attendance has historically been below national average with a small number of families with multiple </w:t>
            </w:r>
            <w:r>
              <w:rPr>
                <w:rFonts w:eastAsia="Arial" w:cs="Arial"/>
              </w:rPr>
              <w:t>difficulties requiring intensive support.</w:t>
            </w:r>
          </w:p>
          <w:p w14:paraId="7F9EDEFC" w14:textId="4804C578" w:rsidR="009702FF" w:rsidRPr="00AF5C03" w:rsidRDefault="009702FF" w:rsidP="009702FF">
            <w:pPr>
              <w:pStyle w:val="ListParagraph"/>
              <w:numPr>
                <w:ilvl w:val="0"/>
                <w:numId w:val="31"/>
              </w:numPr>
              <w:suppressAutoHyphens w:val="0"/>
              <w:autoSpaceDN/>
              <w:spacing w:after="60" w:line="240" w:lineRule="auto"/>
              <w:ind w:right="12"/>
            </w:pPr>
            <w:r w:rsidRPr="009702FF">
              <w:rPr>
                <w:rFonts w:eastAsia="Arial" w:cs="Arial"/>
              </w:rPr>
              <w:t>To continue work with families with poor attendance offering support as appropriate</w:t>
            </w:r>
          </w:p>
          <w:p w14:paraId="0CDD5380" w14:textId="77777777" w:rsidR="009702FF" w:rsidRPr="00AF5C03" w:rsidRDefault="009702FF" w:rsidP="009702FF">
            <w:pPr>
              <w:pStyle w:val="ListParagraph"/>
              <w:numPr>
                <w:ilvl w:val="0"/>
                <w:numId w:val="31"/>
              </w:numPr>
              <w:suppressAutoHyphens w:val="0"/>
              <w:autoSpaceDN/>
              <w:spacing w:after="60" w:line="240" w:lineRule="auto"/>
              <w:ind w:right="12"/>
            </w:pPr>
            <w:r w:rsidRPr="009702FF">
              <w:rPr>
                <w:rFonts w:eastAsia="Arial" w:cs="Arial"/>
              </w:rPr>
              <w:t xml:space="preserve">To improve parental engagement with school initiatives  </w:t>
            </w:r>
          </w:p>
          <w:p w14:paraId="2A7D5538" w14:textId="684F8EB3" w:rsidR="009702FF" w:rsidRDefault="009702FF" w:rsidP="009702FF">
            <w:pPr>
              <w:pStyle w:val="TableRow"/>
              <w:numPr>
                <w:ilvl w:val="0"/>
                <w:numId w:val="31"/>
              </w:numPr>
            </w:pPr>
            <w:r w:rsidRPr="00AF5C03">
              <w:rPr>
                <w:rFonts w:eastAsia="Arial" w:cs="Arial"/>
              </w:rPr>
              <w:t>Use of pastoral team to support children with acute SEMH need</w:t>
            </w:r>
            <w:r w:rsidR="00BD1EAE">
              <w:rPr>
                <w:rFonts w:eastAsia="Arial" w:cs="Arial"/>
              </w:rPr>
              <w:t xml:space="preserve">s </w:t>
            </w:r>
            <w:r w:rsidRPr="00AF5C03">
              <w:rPr>
                <w:rFonts w:eastAsia="Arial" w:cs="Arial"/>
              </w:rPr>
              <w:t xml:space="preserve">including one to one </w:t>
            </w:r>
            <w:r>
              <w:rPr>
                <w:rFonts w:eastAsia="Arial" w:cs="Arial"/>
              </w:rPr>
              <w:t>i</w:t>
            </w:r>
            <w:r w:rsidRPr="00AF5C03">
              <w:rPr>
                <w:rFonts w:eastAsia="Arial" w:cs="Arial"/>
              </w:rPr>
              <w:t xml:space="preserve">nterventions by </w:t>
            </w:r>
            <w:r>
              <w:rPr>
                <w:rFonts w:eastAsia="Arial" w:cs="Arial"/>
              </w:rPr>
              <w:t>Malachi.</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7E30E" w14:textId="77777777" w:rsidR="009702FF" w:rsidRPr="00AF5C03" w:rsidRDefault="009702FF" w:rsidP="009702FF">
            <w:pPr>
              <w:spacing w:after="60"/>
              <w:ind w:left="2"/>
            </w:pPr>
            <w:r w:rsidRPr="00AF5C03">
              <w:rPr>
                <w:rFonts w:eastAsia="Arial" w:cs="Arial"/>
              </w:rPr>
              <w:t>There is extensive evidence associating childhood social and emotional skills with improved outcomes in school and later in life</w:t>
            </w:r>
            <w:r>
              <w:rPr>
                <w:rFonts w:eastAsia="Arial" w:cs="Arial"/>
              </w:rPr>
              <w:t>.</w:t>
            </w:r>
            <w:r w:rsidRPr="00AF5C03">
              <w:rPr>
                <w:rFonts w:eastAsia="Arial" w:cs="Arial"/>
              </w:rPr>
              <w:t xml:space="preserve">  </w:t>
            </w:r>
          </w:p>
          <w:p w14:paraId="7B21D907" w14:textId="3F08C2C4" w:rsidR="009702FF" w:rsidRPr="00AF5C03" w:rsidRDefault="009702FF" w:rsidP="009702FF">
            <w:pPr>
              <w:spacing w:after="60"/>
            </w:pPr>
            <w:r>
              <w:rPr>
                <w:rFonts w:eastAsia="Arial" w:cs="Arial"/>
              </w:rPr>
              <w:t>E</w:t>
            </w:r>
            <w:r w:rsidRPr="00AF5C03">
              <w:rPr>
                <w:rFonts w:eastAsia="Arial" w:cs="Arial"/>
              </w:rPr>
              <w:t xml:space="preserve">EF social and emotional learning pdf. </w:t>
            </w:r>
          </w:p>
          <w:p w14:paraId="2A7D5539" w14:textId="178C25DC" w:rsidR="009702FF" w:rsidRDefault="009702FF" w:rsidP="009702FF">
            <w:pPr>
              <w:pStyle w:val="TableRowCentered"/>
              <w:jc w:val="left"/>
              <w:rPr>
                <w:sz w:val="22"/>
              </w:rPr>
            </w:pPr>
            <w:r w:rsidRPr="00AF5C03">
              <w:rPr>
                <w:rFonts w:eastAsia="Arial" w:cs="Arial"/>
              </w:rPr>
              <w:t>The DfE guidance to reduce levels of absence and persistent absence</w:t>
            </w:r>
            <w:r>
              <w:rPr>
                <w:rFonts w:eastAsia="Arial" w:cs="Arial"/>
              </w:rPr>
              <w:t>.</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553A" w14:textId="769527B5" w:rsidR="009702FF" w:rsidRDefault="009702FF" w:rsidP="009702FF">
            <w:pPr>
              <w:pStyle w:val="TableRowCentered"/>
              <w:jc w:val="left"/>
              <w:rPr>
                <w:sz w:val="22"/>
              </w:rPr>
            </w:pPr>
            <w:r>
              <w:rPr>
                <w:rFonts w:eastAsia="Arial" w:cs="Arial"/>
              </w:rPr>
              <w:t>5</w:t>
            </w:r>
          </w:p>
        </w:tc>
      </w:tr>
    </w:tbl>
    <w:p w14:paraId="2A7D5540" w14:textId="77777777" w:rsidR="00E66558" w:rsidRDefault="00E66558">
      <w:pPr>
        <w:spacing w:before="240" w:after="0"/>
        <w:rPr>
          <w:b/>
          <w:bCs/>
          <w:color w:val="104F75"/>
          <w:sz w:val="28"/>
          <w:szCs w:val="28"/>
        </w:rPr>
      </w:pPr>
    </w:p>
    <w:p w14:paraId="2A7D5541" w14:textId="565A0554" w:rsidR="00E66558" w:rsidRDefault="009D71E8" w:rsidP="00120AB1">
      <w:r>
        <w:rPr>
          <w:b/>
          <w:bCs/>
          <w:color w:val="104F75"/>
          <w:sz w:val="28"/>
          <w:szCs w:val="28"/>
        </w:rPr>
        <w:t xml:space="preserve">Total budgeted cost: </w:t>
      </w:r>
      <w:r w:rsidR="007B5ED9">
        <w:rPr>
          <w:b/>
          <w:bCs/>
          <w:color w:val="104F75"/>
          <w:sz w:val="28"/>
          <w:szCs w:val="28"/>
        </w:rPr>
        <w:t>£178,910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34940" w14:textId="656C47EC" w:rsidR="0064167B" w:rsidRDefault="004A0633" w:rsidP="00242093">
            <w:pPr>
              <w:spacing w:before="60"/>
              <w:rPr>
                <w:lang w:eastAsia="en-US"/>
              </w:rPr>
            </w:pPr>
            <w:r w:rsidRPr="004A0633">
              <w:rPr>
                <w:lang w:eastAsia="en-US"/>
              </w:rPr>
              <w:t>This details the impact that our pupil premium strategy had on pupils in the 202</w:t>
            </w:r>
            <w:r w:rsidR="006810FC">
              <w:rPr>
                <w:lang w:eastAsia="en-US"/>
              </w:rPr>
              <w:t>3-</w:t>
            </w:r>
            <w:r w:rsidRPr="004A0633">
              <w:rPr>
                <w:lang w:eastAsia="en-US"/>
              </w:rPr>
              <w:t>202</w:t>
            </w:r>
            <w:r w:rsidR="008B6E35">
              <w:rPr>
                <w:lang w:eastAsia="en-US"/>
              </w:rPr>
              <w:t>4</w:t>
            </w:r>
            <w:r w:rsidRPr="004A0633">
              <w:rPr>
                <w:lang w:eastAsia="en-US"/>
              </w:rPr>
              <w:t xml:space="preserve"> academic year.</w:t>
            </w:r>
          </w:p>
          <w:tbl>
            <w:tblPr>
              <w:tblStyle w:val="TableGrid"/>
              <w:tblW w:w="0" w:type="auto"/>
              <w:tblLook w:val="04A0" w:firstRow="1" w:lastRow="0" w:firstColumn="1" w:lastColumn="0" w:noHBand="0" w:noVBand="1"/>
            </w:tblPr>
            <w:tblGrid>
              <w:gridCol w:w="2151"/>
              <w:gridCol w:w="4027"/>
              <w:gridCol w:w="3089"/>
            </w:tblGrid>
            <w:tr w:rsidR="004A0633" w14:paraId="7E780DA9" w14:textId="77777777" w:rsidTr="005B4860">
              <w:tc>
                <w:tcPr>
                  <w:tcW w:w="2151" w:type="dxa"/>
                </w:tcPr>
                <w:p w14:paraId="786CECFD" w14:textId="10F9983B" w:rsidR="004A0633" w:rsidRDefault="004A0633" w:rsidP="00242093">
                  <w:pPr>
                    <w:spacing w:before="60"/>
                    <w:rPr>
                      <w:lang w:eastAsia="en-US"/>
                    </w:rPr>
                  </w:pPr>
                  <w:r>
                    <w:rPr>
                      <w:lang w:eastAsia="en-US"/>
                    </w:rPr>
                    <w:t>Aim</w:t>
                  </w:r>
                </w:p>
              </w:tc>
              <w:tc>
                <w:tcPr>
                  <w:tcW w:w="4027" w:type="dxa"/>
                </w:tcPr>
                <w:p w14:paraId="05CCB062" w14:textId="45B40FA5" w:rsidR="004A0633" w:rsidRDefault="004A0633" w:rsidP="00242093">
                  <w:pPr>
                    <w:spacing w:before="60"/>
                    <w:rPr>
                      <w:lang w:eastAsia="en-US"/>
                    </w:rPr>
                  </w:pPr>
                  <w:r>
                    <w:rPr>
                      <w:lang w:eastAsia="en-US"/>
                    </w:rPr>
                    <w:t>Outcome</w:t>
                  </w:r>
                </w:p>
              </w:tc>
              <w:tc>
                <w:tcPr>
                  <w:tcW w:w="3089" w:type="dxa"/>
                </w:tcPr>
                <w:p w14:paraId="1897467E" w14:textId="66E9CEE3" w:rsidR="004A0633" w:rsidRDefault="004A0633" w:rsidP="00242093">
                  <w:pPr>
                    <w:spacing w:before="60"/>
                    <w:rPr>
                      <w:lang w:eastAsia="en-US"/>
                    </w:rPr>
                  </w:pPr>
                  <w:r>
                    <w:rPr>
                      <w:lang w:eastAsia="en-US"/>
                    </w:rPr>
                    <w:t>Evaluation</w:t>
                  </w:r>
                </w:p>
              </w:tc>
            </w:tr>
            <w:tr w:rsidR="005B4860" w14:paraId="39391021" w14:textId="77777777" w:rsidTr="005B4860">
              <w:tc>
                <w:tcPr>
                  <w:tcW w:w="2151" w:type="dxa"/>
                  <w:tcBorders>
                    <w:top w:val="single" w:sz="4" w:space="0" w:color="000000"/>
                    <w:left w:val="single" w:sz="4" w:space="0" w:color="000000"/>
                    <w:bottom w:val="single" w:sz="4" w:space="0" w:color="000000"/>
                    <w:right w:val="single" w:sz="4" w:space="0" w:color="000000"/>
                  </w:tcBorders>
                </w:tcPr>
                <w:p w14:paraId="5EB10DF2" w14:textId="44949191" w:rsidR="005B4860" w:rsidRDefault="005B4860" w:rsidP="005B4860">
                  <w:pPr>
                    <w:spacing w:before="60"/>
                    <w:rPr>
                      <w:lang w:eastAsia="en-US"/>
                    </w:rPr>
                  </w:pPr>
                  <w:r w:rsidRPr="00AF5C03">
                    <w:rPr>
                      <w:rFonts w:eastAsia="Arial" w:cs="Arial"/>
                    </w:rPr>
                    <w:t xml:space="preserve">Improved oral language skills and vocabulary among disadvantaged children. </w:t>
                  </w:r>
                </w:p>
              </w:tc>
              <w:tc>
                <w:tcPr>
                  <w:tcW w:w="4027" w:type="dxa"/>
                </w:tcPr>
                <w:p w14:paraId="4970D900" w14:textId="0FFF12F1" w:rsidR="005B4860" w:rsidRDefault="005B4860" w:rsidP="005B4860">
                  <w:pPr>
                    <w:spacing w:before="60"/>
                    <w:rPr>
                      <w:lang w:eastAsia="en-US"/>
                    </w:rPr>
                  </w:pPr>
                  <w:r>
                    <w:rPr>
                      <w:lang w:eastAsia="en-US"/>
                    </w:rPr>
                    <w:t>Data and observations show that standards of oracy have improved for our disadvantaged pupils.</w:t>
                  </w:r>
                </w:p>
              </w:tc>
              <w:tc>
                <w:tcPr>
                  <w:tcW w:w="3089" w:type="dxa"/>
                </w:tcPr>
                <w:p w14:paraId="0941B7E9" w14:textId="688A2F50" w:rsidR="005B4860" w:rsidRDefault="005B4860" w:rsidP="005B4860">
                  <w:pPr>
                    <w:spacing w:before="60"/>
                    <w:rPr>
                      <w:lang w:eastAsia="en-US"/>
                    </w:rPr>
                  </w:pPr>
                  <w:r>
                    <w:rPr>
                      <w:lang w:eastAsia="en-US"/>
                    </w:rPr>
                    <w:t>Oracy is becoming a strength of the school and our aim is to continually build on existing practice in school to further enhance outcomes for all pupils.</w:t>
                  </w:r>
                </w:p>
              </w:tc>
            </w:tr>
            <w:tr w:rsidR="005B4860" w14:paraId="510855BA" w14:textId="77777777" w:rsidTr="005B4860">
              <w:tc>
                <w:tcPr>
                  <w:tcW w:w="2151" w:type="dxa"/>
                  <w:tcBorders>
                    <w:top w:val="single" w:sz="4" w:space="0" w:color="000000"/>
                    <w:left w:val="single" w:sz="4" w:space="0" w:color="000000"/>
                    <w:bottom w:val="single" w:sz="4" w:space="0" w:color="000000"/>
                    <w:right w:val="single" w:sz="4" w:space="0" w:color="000000"/>
                  </w:tcBorders>
                </w:tcPr>
                <w:p w14:paraId="5D2C9B74" w14:textId="12A14B1C" w:rsidR="005B4860" w:rsidRDefault="005B4860" w:rsidP="005B4860">
                  <w:pPr>
                    <w:spacing w:before="60"/>
                    <w:rPr>
                      <w:lang w:eastAsia="en-US"/>
                    </w:rPr>
                  </w:pPr>
                  <w:r w:rsidRPr="00AF5C03">
                    <w:rPr>
                      <w:rFonts w:eastAsia="Arial" w:cs="Arial"/>
                    </w:rPr>
                    <w:t xml:space="preserve">Improved phonics attainment among disadvantaged children. </w:t>
                  </w:r>
                </w:p>
              </w:tc>
              <w:tc>
                <w:tcPr>
                  <w:tcW w:w="4027" w:type="dxa"/>
                </w:tcPr>
                <w:p w14:paraId="347BA580" w14:textId="5FFB66CE" w:rsidR="00B5017A" w:rsidRDefault="00B5017A" w:rsidP="005B4860">
                  <w:pPr>
                    <w:spacing w:before="60"/>
                    <w:rPr>
                      <w:lang w:eastAsia="en-US"/>
                    </w:rPr>
                  </w:pPr>
                  <w:r>
                    <w:rPr>
                      <w:lang w:eastAsia="en-US"/>
                    </w:rPr>
                    <w:t>Highters Heath</w:t>
                  </w:r>
                  <w:r w:rsidR="00964BEC">
                    <w:rPr>
                      <w:lang w:eastAsia="en-US"/>
                    </w:rPr>
                    <w:t xml:space="preserve"> All</w:t>
                  </w:r>
                  <w:r>
                    <w:rPr>
                      <w:lang w:eastAsia="en-US"/>
                    </w:rPr>
                    <w:t xml:space="preserve"> – </w:t>
                  </w:r>
                  <w:r w:rsidR="00783D5B">
                    <w:rPr>
                      <w:lang w:eastAsia="en-US"/>
                    </w:rPr>
                    <w:t>85</w:t>
                  </w:r>
                  <w:r>
                    <w:rPr>
                      <w:lang w:eastAsia="en-US"/>
                    </w:rPr>
                    <w:t>%</w:t>
                  </w:r>
                </w:p>
                <w:p w14:paraId="221B7190" w14:textId="76657F59" w:rsidR="00B469BA" w:rsidRDefault="00B469BA" w:rsidP="005B4860">
                  <w:pPr>
                    <w:spacing w:before="60"/>
                    <w:rPr>
                      <w:lang w:eastAsia="en-US"/>
                    </w:rPr>
                  </w:pPr>
                  <w:r>
                    <w:rPr>
                      <w:lang w:eastAsia="en-US"/>
                    </w:rPr>
                    <w:t xml:space="preserve">Highters Heath disadvantaged – </w:t>
                  </w:r>
                  <w:r w:rsidR="00783D5B">
                    <w:rPr>
                      <w:lang w:eastAsia="en-US"/>
                    </w:rPr>
                    <w:t>92</w:t>
                  </w:r>
                  <w:r w:rsidR="00B5017A">
                    <w:rPr>
                      <w:lang w:eastAsia="en-US"/>
                    </w:rPr>
                    <w:t>%</w:t>
                  </w:r>
                </w:p>
                <w:p w14:paraId="459B017D" w14:textId="77777777" w:rsidR="00964BEC" w:rsidRDefault="00964BEC" w:rsidP="00964BEC">
                  <w:pPr>
                    <w:spacing w:before="60"/>
                    <w:rPr>
                      <w:lang w:eastAsia="en-US"/>
                    </w:rPr>
                  </w:pPr>
                  <w:r>
                    <w:rPr>
                      <w:lang w:eastAsia="en-US"/>
                    </w:rPr>
                    <w:t>National disadvantaged – 80%</w:t>
                  </w:r>
                </w:p>
                <w:p w14:paraId="13548656" w14:textId="457DED0C" w:rsidR="00092989" w:rsidRDefault="00092989" w:rsidP="005B4860">
                  <w:pPr>
                    <w:spacing w:before="60"/>
                    <w:rPr>
                      <w:lang w:eastAsia="en-US"/>
                    </w:rPr>
                  </w:pPr>
                </w:p>
              </w:tc>
              <w:tc>
                <w:tcPr>
                  <w:tcW w:w="3089" w:type="dxa"/>
                </w:tcPr>
                <w:p w14:paraId="2CB258E0" w14:textId="49938808" w:rsidR="005B4860" w:rsidRDefault="00B469BA" w:rsidP="005B4860">
                  <w:pPr>
                    <w:spacing w:before="60"/>
                    <w:rPr>
                      <w:lang w:eastAsia="en-US"/>
                    </w:rPr>
                  </w:pPr>
                  <w:r>
                    <w:rPr>
                      <w:lang w:eastAsia="en-US"/>
                    </w:rPr>
                    <w:t xml:space="preserve">Although the data at Highters Heath is strong and exceeds national data, our aim is to </w:t>
                  </w:r>
                  <w:r w:rsidR="00783D5B">
                    <w:rPr>
                      <w:lang w:eastAsia="en-US"/>
                    </w:rPr>
                    <w:t xml:space="preserve">ensure the gap </w:t>
                  </w:r>
                  <w:r>
                    <w:rPr>
                      <w:lang w:eastAsia="en-US"/>
                    </w:rPr>
                    <w:t xml:space="preserve">between disadvantaged and non-disadvantaged pupil groups </w:t>
                  </w:r>
                  <w:r w:rsidR="002E4E5C">
                    <w:rPr>
                      <w:lang w:eastAsia="en-US"/>
                    </w:rPr>
                    <w:t>remains a focus.</w:t>
                  </w:r>
                </w:p>
              </w:tc>
            </w:tr>
            <w:tr w:rsidR="005B4860" w14:paraId="2961012F" w14:textId="77777777" w:rsidTr="005B4860">
              <w:tc>
                <w:tcPr>
                  <w:tcW w:w="2151" w:type="dxa"/>
                  <w:tcBorders>
                    <w:top w:val="single" w:sz="4" w:space="0" w:color="000000"/>
                    <w:left w:val="single" w:sz="4" w:space="0" w:color="000000"/>
                    <w:bottom w:val="single" w:sz="4" w:space="0" w:color="000000"/>
                    <w:right w:val="single" w:sz="4" w:space="0" w:color="000000"/>
                  </w:tcBorders>
                </w:tcPr>
                <w:p w14:paraId="47CD9DEE" w14:textId="6A736435" w:rsidR="005B4860" w:rsidRDefault="005B4860" w:rsidP="005B4860">
                  <w:pPr>
                    <w:spacing w:before="60"/>
                    <w:rPr>
                      <w:lang w:eastAsia="en-US"/>
                    </w:rPr>
                  </w:pPr>
                  <w:r w:rsidRPr="00AF5C03">
                    <w:rPr>
                      <w:rFonts w:eastAsia="Arial" w:cs="Arial"/>
                    </w:rPr>
                    <w:t>Imp</w:t>
                  </w:r>
                  <w:r>
                    <w:rPr>
                      <w:rFonts w:eastAsia="Arial" w:cs="Arial"/>
                    </w:rPr>
                    <w:t xml:space="preserve">roved attainment at the end </w:t>
                  </w:r>
                  <w:r w:rsidR="00F97B1D">
                    <w:rPr>
                      <w:rFonts w:eastAsia="Arial" w:cs="Arial"/>
                    </w:rPr>
                    <w:t>Key Stage</w:t>
                  </w:r>
                  <w:r w:rsidRPr="00AF5C03">
                    <w:rPr>
                      <w:rFonts w:eastAsia="Arial" w:cs="Arial"/>
                    </w:rPr>
                    <w:t xml:space="preserve"> </w:t>
                  </w:r>
                  <w:r w:rsidR="00E77286">
                    <w:rPr>
                      <w:rFonts w:eastAsia="Arial" w:cs="Arial"/>
                    </w:rPr>
                    <w:t xml:space="preserve">2 </w:t>
                  </w:r>
                  <w:r w:rsidRPr="00AF5C03">
                    <w:rPr>
                      <w:rFonts w:eastAsia="Arial" w:cs="Arial"/>
                    </w:rPr>
                    <w:t xml:space="preserve">in reading, writing and maths, particularly for disadvantaged children. </w:t>
                  </w:r>
                </w:p>
              </w:tc>
              <w:tc>
                <w:tcPr>
                  <w:tcW w:w="4027" w:type="dxa"/>
                </w:tcPr>
                <w:tbl>
                  <w:tblPr>
                    <w:tblStyle w:val="TableGrid"/>
                    <w:tblpPr w:leftFromText="180" w:rightFromText="180" w:tblpY="532"/>
                    <w:tblOverlap w:val="never"/>
                    <w:tblW w:w="0" w:type="auto"/>
                    <w:tblLook w:val="04A0" w:firstRow="1" w:lastRow="0" w:firstColumn="1" w:lastColumn="0" w:noHBand="0" w:noVBand="1"/>
                  </w:tblPr>
                  <w:tblGrid>
                    <w:gridCol w:w="1267"/>
                    <w:gridCol w:w="1267"/>
                    <w:gridCol w:w="1267"/>
                  </w:tblGrid>
                  <w:tr w:rsidR="00B469BA" w14:paraId="56890240" w14:textId="77777777" w:rsidTr="004F4806">
                    <w:tc>
                      <w:tcPr>
                        <w:tcW w:w="1267" w:type="dxa"/>
                      </w:tcPr>
                      <w:p w14:paraId="6502BC1C" w14:textId="76BB0AC9" w:rsidR="00B469BA" w:rsidRPr="00B469BA" w:rsidRDefault="00E77286" w:rsidP="005B4860">
                        <w:pPr>
                          <w:spacing w:before="60"/>
                          <w:rPr>
                            <w:sz w:val="16"/>
                            <w:szCs w:val="16"/>
                            <w:lang w:eastAsia="en-US"/>
                          </w:rPr>
                        </w:pPr>
                        <w:r>
                          <w:rPr>
                            <w:lang w:eastAsia="en-US"/>
                          </w:rPr>
                          <w:t>K</w:t>
                        </w:r>
                        <w:r w:rsidR="00B469BA">
                          <w:rPr>
                            <w:lang w:eastAsia="en-US"/>
                          </w:rPr>
                          <w:t>S</w:t>
                        </w:r>
                        <w:r w:rsidR="00F97B1D">
                          <w:rPr>
                            <w:lang w:eastAsia="en-US"/>
                          </w:rPr>
                          <w:t>2</w:t>
                        </w:r>
                        <w:r w:rsidR="00B469BA">
                          <w:rPr>
                            <w:lang w:eastAsia="en-US"/>
                          </w:rPr>
                          <w:t xml:space="preserve"> data:</w:t>
                        </w:r>
                      </w:p>
                    </w:tc>
                    <w:tc>
                      <w:tcPr>
                        <w:tcW w:w="1267" w:type="dxa"/>
                      </w:tcPr>
                      <w:p w14:paraId="34F76713" w14:textId="624051A9" w:rsidR="00B469BA" w:rsidRPr="00B469BA" w:rsidRDefault="00B469BA" w:rsidP="00B469BA">
                        <w:pPr>
                          <w:spacing w:before="60"/>
                          <w:jc w:val="center"/>
                          <w:rPr>
                            <w:sz w:val="16"/>
                            <w:szCs w:val="16"/>
                            <w:lang w:eastAsia="en-US"/>
                          </w:rPr>
                        </w:pPr>
                        <w:r>
                          <w:rPr>
                            <w:sz w:val="16"/>
                            <w:szCs w:val="16"/>
                            <w:lang w:eastAsia="en-US"/>
                          </w:rPr>
                          <w:t>National disadvantaged</w:t>
                        </w:r>
                      </w:p>
                    </w:tc>
                    <w:tc>
                      <w:tcPr>
                        <w:tcW w:w="1267" w:type="dxa"/>
                      </w:tcPr>
                      <w:p w14:paraId="123A02C5" w14:textId="6318C20A" w:rsidR="00B469BA" w:rsidRPr="00B469BA" w:rsidRDefault="00B469BA" w:rsidP="00B469BA">
                        <w:pPr>
                          <w:spacing w:before="60"/>
                          <w:jc w:val="center"/>
                          <w:rPr>
                            <w:sz w:val="16"/>
                            <w:szCs w:val="16"/>
                            <w:lang w:eastAsia="en-US"/>
                          </w:rPr>
                        </w:pPr>
                        <w:r>
                          <w:rPr>
                            <w:sz w:val="16"/>
                            <w:szCs w:val="16"/>
                            <w:lang w:eastAsia="en-US"/>
                          </w:rPr>
                          <w:t>Highters Heath disadvantaged</w:t>
                        </w:r>
                      </w:p>
                    </w:tc>
                  </w:tr>
                  <w:tr w:rsidR="00B469BA" w14:paraId="1056EF96" w14:textId="77777777" w:rsidTr="004F4806">
                    <w:tc>
                      <w:tcPr>
                        <w:tcW w:w="1267" w:type="dxa"/>
                      </w:tcPr>
                      <w:p w14:paraId="6128446A" w14:textId="1FA0DB74" w:rsidR="00B469BA" w:rsidRPr="00B469BA" w:rsidRDefault="00B469BA" w:rsidP="005B4860">
                        <w:pPr>
                          <w:spacing w:before="60"/>
                          <w:rPr>
                            <w:sz w:val="16"/>
                            <w:szCs w:val="16"/>
                            <w:lang w:eastAsia="en-US"/>
                          </w:rPr>
                        </w:pPr>
                        <w:r>
                          <w:rPr>
                            <w:sz w:val="16"/>
                            <w:szCs w:val="16"/>
                            <w:lang w:eastAsia="en-US"/>
                          </w:rPr>
                          <w:t>Reading ARE</w:t>
                        </w:r>
                      </w:p>
                    </w:tc>
                    <w:tc>
                      <w:tcPr>
                        <w:tcW w:w="1267" w:type="dxa"/>
                      </w:tcPr>
                      <w:p w14:paraId="60D57750" w14:textId="52F066AD" w:rsidR="00B469BA" w:rsidRPr="00B469BA" w:rsidRDefault="00AA67B5" w:rsidP="005B4860">
                        <w:pPr>
                          <w:spacing w:before="60"/>
                          <w:rPr>
                            <w:sz w:val="16"/>
                            <w:szCs w:val="16"/>
                            <w:lang w:eastAsia="en-US"/>
                          </w:rPr>
                        </w:pPr>
                        <w:r>
                          <w:rPr>
                            <w:sz w:val="16"/>
                            <w:szCs w:val="16"/>
                            <w:lang w:eastAsia="en-US"/>
                          </w:rPr>
                          <w:t>62</w:t>
                        </w:r>
                        <w:r w:rsidR="000375CC">
                          <w:rPr>
                            <w:sz w:val="16"/>
                            <w:szCs w:val="16"/>
                            <w:lang w:eastAsia="en-US"/>
                          </w:rPr>
                          <w:t>%</w:t>
                        </w:r>
                      </w:p>
                    </w:tc>
                    <w:tc>
                      <w:tcPr>
                        <w:tcW w:w="1267" w:type="dxa"/>
                      </w:tcPr>
                      <w:p w14:paraId="784F2BF9" w14:textId="1B4E9B7C" w:rsidR="00B469BA" w:rsidRPr="00B469BA" w:rsidRDefault="0057690E" w:rsidP="005B4860">
                        <w:pPr>
                          <w:spacing w:before="60"/>
                          <w:rPr>
                            <w:sz w:val="16"/>
                            <w:szCs w:val="16"/>
                            <w:lang w:eastAsia="en-US"/>
                          </w:rPr>
                        </w:pPr>
                        <w:r>
                          <w:rPr>
                            <w:sz w:val="16"/>
                            <w:szCs w:val="16"/>
                            <w:lang w:eastAsia="en-US"/>
                          </w:rPr>
                          <w:t>47</w:t>
                        </w:r>
                        <w:r w:rsidR="000375CC">
                          <w:rPr>
                            <w:sz w:val="16"/>
                            <w:szCs w:val="16"/>
                            <w:lang w:eastAsia="en-US"/>
                          </w:rPr>
                          <w:t>%</w:t>
                        </w:r>
                      </w:p>
                    </w:tc>
                  </w:tr>
                  <w:tr w:rsidR="00B469BA" w14:paraId="13587F74" w14:textId="77777777" w:rsidTr="004F4806">
                    <w:tc>
                      <w:tcPr>
                        <w:tcW w:w="1267" w:type="dxa"/>
                      </w:tcPr>
                      <w:p w14:paraId="72321858" w14:textId="5653E6B8" w:rsidR="00B469BA" w:rsidRPr="00B469BA" w:rsidRDefault="00B469BA" w:rsidP="005B4860">
                        <w:pPr>
                          <w:spacing w:before="60"/>
                          <w:rPr>
                            <w:sz w:val="16"/>
                            <w:szCs w:val="16"/>
                            <w:lang w:eastAsia="en-US"/>
                          </w:rPr>
                        </w:pPr>
                        <w:r>
                          <w:rPr>
                            <w:sz w:val="16"/>
                            <w:szCs w:val="16"/>
                            <w:lang w:eastAsia="en-US"/>
                          </w:rPr>
                          <w:t>Writing ARE</w:t>
                        </w:r>
                      </w:p>
                    </w:tc>
                    <w:tc>
                      <w:tcPr>
                        <w:tcW w:w="1267" w:type="dxa"/>
                      </w:tcPr>
                      <w:p w14:paraId="06DCD36B" w14:textId="6C9B4206" w:rsidR="00B469BA" w:rsidRPr="00B469BA" w:rsidRDefault="000375CC" w:rsidP="005B4860">
                        <w:pPr>
                          <w:spacing w:before="60"/>
                          <w:rPr>
                            <w:sz w:val="16"/>
                            <w:szCs w:val="16"/>
                            <w:lang w:eastAsia="en-US"/>
                          </w:rPr>
                        </w:pPr>
                        <w:r>
                          <w:rPr>
                            <w:sz w:val="16"/>
                            <w:szCs w:val="16"/>
                            <w:lang w:eastAsia="en-US"/>
                          </w:rPr>
                          <w:t>5</w:t>
                        </w:r>
                        <w:r w:rsidR="00AA67B5">
                          <w:rPr>
                            <w:sz w:val="16"/>
                            <w:szCs w:val="16"/>
                            <w:lang w:eastAsia="en-US"/>
                          </w:rPr>
                          <w:t>9</w:t>
                        </w:r>
                        <w:r>
                          <w:rPr>
                            <w:sz w:val="16"/>
                            <w:szCs w:val="16"/>
                            <w:lang w:eastAsia="en-US"/>
                          </w:rPr>
                          <w:t>%</w:t>
                        </w:r>
                      </w:p>
                    </w:tc>
                    <w:tc>
                      <w:tcPr>
                        <w:tcW w:w="1267" w:type="dxa"/>
                      </w:tcPr>
                      <w:p w14:paraId="60A775A1" w14:textId="36DF91D8" w:rsidR="00B469BA" w:rsidRPr="00B469BA" w:rsidRDefault="0057690E" w:rsidP="005B4860">
                        <w:pPr>
                          <w:spacing w:before="60"/>
                          <w:rPr>
                            <w:sz w:val="16"/>
                            <w:szCs w:val="16"/>
                            <w:lang w:eastAsia="en-US"/>
                          </w:rPr>
                        </w:pPr>
                        <w:r>
                          <w:rPr>
                            <w:sz w:val="16"/>
                            <w:szCs w:val="16"/>
                            <w:lang w:eastAsia="en-US"/>
                          </w:rPr>
                          <w:t>79</w:t>
                        </w:r>
                        <w:r w:rsidR="000375CC">
                          <w:rPr>
                            <w:sz w:val="16"/>
                            <w:szCs w:val="16"/>
                            <w:lang w:eastAsia="en-US"/>
                          </w:rPr>
                          <w:t>%</w:t>
                        </w:r>
                      </w:p>
                    </w:tc>
                  </w:tr>
                  <w:tr w:rsidR="00B469BA" w14:paraId="663E0F92" w14:textId="77777777" w:rsidTr="004F4806">
                    <w:tc>
                      <w:tcPr>
                        <w:tcW w:w="1267" w:type="dxa"/>
                      </w:tcPr>
                      <w:p w14:paraId="451E3013" w14:textId="54AA352C" w:rsidR="00B469BA" w:rsidRPr="00B469BA" w:rsidRDefault="00B469BA" w:rsidP="005B4860">
                        <w:pPr>
                          <w:spacing w:before="60"/>
                          <w:rPr>
                            <w:sz w:val="16"/>
                            <w:szCs w:val="16"/>
                            <w:lang w:eastAsia="en-US"/>
                          </w:rPr>
                        </w:pPr>
                        <w:r>
                          <w:rPr>
                            <w:sz w:val="16"/>
                            <w:szCs w:val="16"/>
                            <w:lang w:eastAsia="en-US"/>
                          </w:rPr>
                          <w:t>Maths ARE</w:t>
                        </w:r>
                      </w:p>
                    </w:tc>
                    <w:tc>
                      <w:tcPr>
                        <w:tcW w:w="1267" w:type="dxa"/>
                      </w:tcPr>
                      <w:p w14:paraId="322725D1" w14:textId="6EAB0F38" w:rsidR="00B469BA" w:rsidRPr="00B469BA" w:rsidRDefault="000375CC" w:rsidP="005B4860">
                        <w:pPr>
                          <w:spacing w:before="60"/>
                          <w:rPr>
                            <w:sz w:val="16"/>
                            <w:szCs w:val="16"/>
                            <w:lang w:eastAsia="en-US"/>
                          </w:rPr>
                        </w:pPr>
                        <w:r>
                          <w:rPr>
                            <w:sz w:val="16"/>
                            <w:szCs w:val="16"/>
                            <w:lang w:eastAsia="en-US"/>
                          </w:rPr>
                          <w:t>5</w:t>
                        </w:r>
                        <w:r w:rsidR="00AA67B5">
                          <w:rPr>
                            <w:sz w:val="16"/>
                            <w:szCs w:val="16"/>
                            <w:lang w:eastAsia="en-US"/>
                          </w:rPr>
                          <w:t>9</w:t>
                        </w:r>
                        <w:r>
                          <w:rPr>
                            <w:sz w:val="16"/>
                            <w:szCs w:val="16"/>
                            <w:lang w:eastAsia="en-US"/>
                          </w:rPr>
                          <w:t>%</w:t>
                        </w:r>
                      </w:p>
                    </w:tc>
                    <w:tc>
                      <w:tcPr>
                        <w:tcW w:w="1267" w:type="dxa"/>
                      </w:tcPr>
                      <w:p w14:paraId="22E27F65" w14:textId="67B7F97F" w:rsidR="00B469BA" w:rsidRPr="00B469BA" w:rsidRDefault="0057690E" w:rsidP="005B4860">
                        <w:pPr>
                          <w:spacing w:before="60"/>
                          <w:rPr>
                            <w:sz w:val="16"/>
                            <w:szCs w:val="16"/>
                            <w:lang w:eastAsia="en-US"/>
                          </w:rPr>
                        </w:pPr>
                        <w:r>
                          <w:rPr>
                            <w:sz w:val="16"/>
                            <w:szCs w:val="16"/>
                            <w:lang w:eastAsia="en-US"/>
                          </w:rPr>
                          <w:t>37</w:t>
                        </w:r>
                        <w:r w:rsidR="000375CC">
                          <w:rPr>
                            <w:sz w:val="16"/>
                            <w:szCs w:val="16"/>
                            <w:lang w:eastAsia="en-US"/>
                          </w:rPr>
                          <w:t>%</w:t>
                        </w:r>
                      </w:p>
                    </w:tc>
                  </w:tr>
                  <w:tr w:rsidR="00370D93" w14:paraId="44C23CDD" w14:textId="77777777" w:rsidTr="004F4806">
                    <w:tc>
                      <w:tcPr>
                        <w:tcW w:w="1267" w:type="dxa"/>
                      </w:tcPr>
                      <w:p w14:paraId="2D539DAB" w14:textId="5C824D81" w:rsidR="00370D93" w:rsidRDefault="00370D93" w:rsidP="005B4860">
                        <w:pPr>
                          <w:spacing w:before="60"/>
                          <w:rPr>
                            <w:sz w:val="16"/>
                            <w:szCs w:val="16"/>
                            <w:lang w:eastAsia="en-US"/>
                          </w:rPr>
                        </w:pPr>
                        <w:r>
                          <w:rPr>
                            <w:sz w:val="16"/>
                            <w:szCs w:val="16"/>
                            <w:lang w:eastAsia="en-US"/>
                          </w:rPr>
                          <w:t>SPAG ARE</w:t>
                        </w:r>
                      </w:p>
                    </w:tc>
                    <w:tc>
                      <w:tcPr>
                        <w:tcW w:w="1267" w:type="dxa"/>
                      </w:tcPr>
                      <w:p w14:paraId="7BD48102" w14:textId="0DE440CF" w:rsidR="00370D93" w:rsidRDefault="00370D93" w:rsidP="005B4860">
                        <w:pPr>
                          <w:spacing w:before="60"/>
                          <w:rPr>
                            <w:sz w:val="16"/>
                            <w:szCs w:val="16"/>
                            <w:lang w:eastAsia="en-US"/>
                          </w:rPr>
                        </w:pPr>
                        <w:r>
                          <w:rPr>
                            <w:sz w:val="16"/>
                            <w:szCs w:val="16"/>
                            <w:lang w:eastAsia="en-US"/>
                          </w:rPr>
                          <w:t>%</w:t>
                        </w:r>
                      </w:p>
                    </w:tc>
                    <w:tc>
                      <w:tcPr>
                        <w:tcW w:w="1267" w:type="dxa"/>
                      </w:tcPr>
                      <w:p w14:paraId="22662C67" w14:textId="0896EABE" w:rsidR="00370D93" w:rsidRDefault="00370D93" w:rsidP="005B4860">
                        <w:pPr>
                          <w:spacing w:before="60"/>
                          <w:rPr>
                            <w:sz w:val="16"/>
                            <w:szCs w:val="16"/>
                            <w:lang w:eastAsia="en-US"/>
                          </w:rPr>
                        </w:pPr>
                        <w:r>
                          <w:rPr>
                            <w:sz w:val="16"/>
                            <w:szCs w:val="16"/>
                            <w:lang w:eastAsia="en-US"/>
                          </w:rPr>
                          <w:t>%</w:t>
                        </w:r>
                      </w:p>
                    </w:tc>
                  </w:tr>
                  <w:tr w:rsidR="00AA67B5" w14:paraId="0E78FFBB" w14:textId="77777777" w:rsidTr="004F4806">
                    <w:tc>
                      <w:tcPr>
                        <w:tcW w:w="1267" w:type="dxa"/>
                      </w:tcPr>
                      <w:p w14:paraId="17C91B21" w14:textId="69E6018C" w:rsidR="00AA67B5" w:rsidRDefault="00AA67B5" w:rsidP="005B4860">
                        <w:pPr>
                          <w:spacing w:before="60"/>
                          <w:rPr>
                            <w:sz w:val="16"/>
                            <w:szCs w:val="16"/>
                            <w:lang w:eastAsia="en-US"/>
                          </w:rPr>
                        </w:pPr>
                        <w:r>
                          <w:rPr>
                            <w:sz w:val="16"/>
                            <w:szCs w:val="16"/>
                            <w:lang w:eastAsia="en-US"/>
                          </w:rPr>
                          <w:t>Combined</w:t>
                        </w:r>
                        <w:r w:rsidR="004F4806">
                          <w:rPr>
                            <w:sz w:val="16"/>
                            <w:szCs w:val="16"/>
                            <w:lang w:eastAsia="en-US"/>
                          </w:rPr>
                          <w:t xml:space="preserve"> ARE</w:t>
                        </w:r>
                      </w:p>
                    </w:tc>
                    <w:tc>
                      <w:tcPr>
                        <w:tcW w:w="1267" w:type="dxa"/>
                      </w:tcPr>
                      <w:p w14:paraId="19226EB2" w14:textId="7C77D67E" w:rsidR="00AA67B5" w:rsidRDefault="00AA67B5" w:rsidP="005B4860">
                        <w:pPr>
                          <w:spacing w:before="60"/>
                          <w:rPr>
                            <w:sz w:val="16"/>
                            <w:szCs w:val="16"/>
                            <w:lang w:eastAsia="en-US"/>
                          </w:rPr>
                        </w:pPr>
                        <w:r>
                          <w:rPr>
                            <w:sz w:val="16"/>
                            <w:szCs w:val="16"/>
                            <w:lang w:eastAsia="en-US"/>
                          </w:rPr>
                          <w:t>45%</w:t>
                        </w:r>
                      </w:p>
                    </w:tc>
                    <w:tc>
                      <w:tcPr>
                        <w:tcW w:w="1267" w:type="dxa"/>
                      </w:tcPr>
                      <w:p w14:paraId="58FD74DC" w14:textId="30A8A59C" w:rsidR="00AA67B5" w:rsidRDefault="0057690E" w:rsidP="005B4860">
                        <w:pPr>
                          <w:spacing w:before="60"/>
                          <w:rPr>
                            <w:sz w:val="16"/>
                            <w:szCs w:val="16"/>
                            <w:lang w:eastAsia="en-US"/>
                          </w:rPr>
                        </w:pPr>
                        <w:r>
                          <w:rPr>
                            <w:sz w:val="16"/>
                            <w:szCs w:val="16"/>
                            <w:lang w:eastAsia="en-US"/>
                          </w:rPr>
                          <w:t>26%</w:t>
                        </w:r>
                      </w:p>
                    </w:tc>
                  </w:tr>
                </w:tbl>
                <w:p w14:paraId="2318562B" w14:textId="77777777" w:rsidR="00B469BA" w:rsidRDefault="00B469BA" w:rsidP="005B4860">
                  <w:pPr>
                    <w:spacing w:before="60"/>
                    <w:rPr>
                      <w:lang w:eastAsia="en-US"/>
                    </w:rPr>
                  </w:pPr>
                </w:p>
                <w:p w14:paraId="363099BD" w14:textId="77777777" w:rsidR="004F4806" w:rsidRDefault="004F4806" w:rsidP="005B4860">
                  <w:pPr>
                    <w:spacing w:before="60"/>
                    <w:rPr>
                      <w:lang w:eastAsia="en-US"/>
                    </w:rPr>
                  </w:pPr>
                </w:p>
              </w:tc>
              <w:tc>
                <w:tcPr>
                  <w:tcW w:w="3089" w:type="dxa"/>
                </w:tcPr>
                <w:p w14:paraId="14F61736" w14:textId="330B28FB" w:rsidR="005B4860" w:rsidRDefault="000375CC" w:rsidP="005B4860">
                  <w:pPr>
                    <w:spacing w:before="60"/>
                    <w:rPr>
                      <w:lang w:eastAsia="en-US"/>
                    </w:rPr>
                  </w:pPr>
                  <w:r>
                    <w:rPr>
                      <w:lang w:eastAsia="en-US"/>
                    </w:rPr>
                    <w:t xml:space="preserve">Pupil outcomes particularly in writing </w:t>
                  </w:r>
                  <w:r w:rsidR="00274899">
                    <w:rPr>
                      <w:lang w:eastAsia="en-US"/>
                    </w:rPr>
                    <w:t>are</w:t>
                  </w:r>
                  <w:r>
                    <w:rPr>
                      <w:lang w:eastAsia="en-US"/>
                    </w:rPr>
                    <w:t xml:space="preserve"> strong</w:t>
                  </w:r>
                  <w:r w:rsidR="00274899">
                    <w:rPr>
                      <w:lang w:eastAsia="en-US"/>
                    </w:rPr>
                    <w:t xml:space="preserve"> due to a introduction of a new writing curriculum across the scho</w:t>
                  </w:r>
                  <w:r w:rsidR="00FC3A5B">
                    <w:rPr>
                      <w:lang w:eastAsia="en-US"/>
                    </w:rPr>
                    <w:t>o</w:t>
                  </w:r>
                  <w:r w:rsidR="00274899">
                    <w:rPr>
                      <w:lang w:eastAsia="en-US"/>
                    </w:rPr>
                    <w:t>l</w:t>
                  </w:r>
                  <w:r>
                    <w:rPr>
                      <w:lang w:eastAsia="en-US"/>
                    </w:rPr>
                    <w:t xml:space="preserve">. </w:t>
                  </w:r>
                </w:p>
                <w:p w14:paraId="0186BF2E" w14:textId="266A88F1" w:rsidR="000375CC" w:rsidRDefault="00357942" w:rsidP="00357942">
                  <w:pPr>
                    <w:spacing w:before="60"/>
                    <w:rPr>
                      <w:lang w:eastAsia="en-US"/>
                    </w:rPr>
                  </w:pPr>
                  <w:r w:rsidRPr="00357942">
                    <w:rPr>
                      <w:lang w:eastAsia="en-US"/>
                    </w:rPr>
                    <w:t xml:space="preserve">A review of maths and reading have been carried out following the disappointing results at KS2 in 2024. Swift action has been taken to introduce Maths No Problem with regular staff CPD, team teaching and coaching to ensure this approach is embedded </w:t>
                  </w:r>
                  <w:r w:rsidRPr="00357942">
                    <w:rPr>
                      <w:lang w:eastAsia="en-US"/>
                    </w:rPr>
                    <w:lastRenderedPageBreak/>
                    <w:t>effectively and builds on previous development of the CPA approach. The close read approach had been adopted in KS2 and has a greater emphasis on vocabulary, deepening of understanding and the fluency of reading. This will ensure that outcomes will be significantly improved by the end of 2025.</w:t>
                  </w:r>
                </w:p>
              </w:tc>
            </w:tr>
            <w:tr w:rsidR="005B4860" w14:paraId="1D0D7C96" w14:textId="77777777" w:rsidTr="005B4860">
              <w:tc>
                <w:tcPr>
                  <w:tcW w:w="2151" w:type="dxa"/>
                  <w:tcBorders>
                    <w:top w:val="single" w:sz="4" w:space="0" w:color="000000"/>
                    <w:left w:val="single" w:sz="4" w:space="0" w:color="000000"/>
                    <w:bottom w:val="single" w:sz="4" w:space="0" w:color="000000"/>
                    <w:right w:val="single" w:sz="4" w:space="0" w:color="000000"/>
                  </w:tcBorders>
                </w:tcPr>
                <w:p w14:paraId="097727C5" w14:textId="1C806386" w:rsidR="005B4860" w:rsidRDefault="005B4860" w:rsidP="005B4860">
                  <w:pPr>
                    <w:spacing w:before="60"/>
                    <w:rPr>
                      <w:lang w:eastAsia="en-US"/>
                    </w:rPr>
                  </w:pPr>
                  <w:r w:rsidRPr="00AF5C03">
                    <w:rPr>
                      <w:rFonts w:eastAsia="Arial" w:cs="Arial"/>
                    </w:rPr>
                    <w:lastRenderedPageBreak/>
                    <w:t xml:space="preserve">To achieve and sustain improved wellbeing for all children in our school, particularly among disadvantaged children. </w:t>
                  </w:r>
                </w:p>
              </w:tc>
              <w:tc>
                <w:tcPr>
                  <w:tcW w:w="4027" w:type="dxa"/>
                </w:tcPr>
                <w:p w14:paraId="3B3D5851" w14:textId="02C5EDF6" w:rsidR="005B4860" w:rsidRDefault="00A67F22" w:rsidP="005B4860">
                  <w:pPr>
                    <w:spacing w:before="60"/>
                    <w:rPr>
                      <w:lang w:eastAsia="en-US"/>
                    </w:rPr>
                  </w:pPr>
                  <w:r>
                    <w:t>Pupil behaviour, attitudes and wellbeing is a key strand on our school improvement plan 2</w:t>
                  </w:r>
                  <w:r w:rsidR="00FC1310">
                    <w:t>4</w:t>
                  </w:r>
                  <w:r w:rsidR="0021471A">
                    <w:t>-25</w:t>
                  </w:r>
                  <w:r>
                    <w:t>. At Highters Heath, we always aim to provide exceptional pastoral support to pupils and families and all our staff are completely committed to the Highters Heath community. We all hold our families in very high regard, irrespective of background and staff try to develop ‘conversations,’ and a sense of belonging rather than expecting all families to behave in the same way</w:t>
                  </w:r>
                  <w:r w:rsidR="00FC1310">
                    <w:t xml:space="preserve">. </w:t>
                  </w:r>
                </w:p>
              </w:tc>
              <w:tc>
                <w:tcPr>
                  <w:tcW w:w="3089" w:type="dxa"/>
                </w:tcPr>
                <w:p w14:paraId="3B71EFE8" w14:textId="08365BE7" w:rsidR="005B4860" w:rsidRDefault="000375CC" w:rsidP="005B4860">
                  <w:pPr>
                    <w:spacing w:before="60"/>
                    <w:rPr>
                      <w:lang w:eastAsia="en-US"/>
                    </w:rPr>
                  </w:pPr>
                  <w:r>
                    <w:rPr>
                      <w:lang w:eastAsia="en-US"/>
                    </w:rPr>
                    <w:t>Improved and sustained wellbeing for all pupils will remain a high priority particularly among disadvantaged children</w:t>
                  </w:r>
                </w:p>
              </w:tc>
            </w:tr>
            <w:tr w:rsidR="005B4860" w14:paraId="3BA184D4" w14:textId="77777777" w:rsidTr="005B4860">
              <w:tc>
                <w:tcPr>
                  <w:tcW w:w="2151" w:type="dxa"/>
                  <w:tcBorders>
                    <w:top w:val="single" w:sz="4" w:space="0" w:color="000000"/>
                    <w:left w:val="single" w:sz="4" w:space="0" w:color="000000"/>
                    <w:bottom w:val="single" w:sz="4" w:space="0" w:color="000000"/>
                    <w:right w:val="single" w:sz="4" w:space="0" w:color="000000"/>
                  </w:tcBorders>
                </w:tcPr>
                <w:p w14:paraId="52758DCA" w14:textId="620BCC17" w:rsidR="005B4860" w:rsidRDefault="005B4860" w:rsidP="005B4860">
                  <w:pPr>
                    <w:spacing w:before="60"/>
                    <w:rPr>
                      <w:lang w:eastAsia="en-US"/>
                    </w:rPr>
                  </w:pPr>
                  <w:r w:rsidRPr="00AF5C03">
                    <w:rPr>
                      <w:rFonts w:eastAsia="Arial" w:cs="Arial"/>
                    </w:rPr>
                    <w:t xml:space="preserve">To achieve and sustain improved attendance for all children, particularly our disadvantaged children. </w:t>
                  </w:r>
                </w:p>
              </w:tc>
              <w:tc>
                <w:tcPr>
                  <w:tcW w:w="4027" w:type="dxa"/>
                </w:tcPr>
                <w:p w14:paraId="7C19795B" w14:textId="1091BD60" w:rsidR="00092989" w:rsidRDefault="00092989" w:rsidP="00092989">
                  <w:pPr>
                    <w:spacing w:before="60"/>
                    <w:rPr>
                      <w:lang w:eastAsia="en-US"/>
                    </w:rPr>
                  </w:pPr>
                  <w:r>
                    <w:rPr>
                      <w:lang w:eastAsia="en-US"/>
                    </w:rPr>
                    <w:t>Overall attendance for 202</w:t>
                  </w:r>
                  <w:r w:rsidR="00BA6571">
                    <w:rPr>
                      <w:lang w:eastAsia="en-US"/>
                    </w:rPr>
                    <w:t>3</w:t>
                  </w:r>
                  <w:r>
                    <w:rPr>
                      <w:lang w:eastAsia="en-US"/>
                    </w:rPr>
                    <w:t xml:space="preserve"> – 202</w:t>
                  </w:r>
                  <w:r w:rsidR="00BA6571">
                    <w:rPr>
                      <w:lang w:eastAsia="en-US"/>
                    </w:rPr>
                    <w:t>4</w:t>
                  </w:r>
                  <w:r>
                    <w:rPr>
                      <w:lang w:eastAsia="en-US"/>
                    </w:rPr>
                    <w:t xml:space="preserve"> – 93</w:t>
                  </w:r>
                  <w:r w:rsidR="009F3837">
                    <w:rPr>
                      <w:lang w:eastAsia="en-US"/>
                    </w:rPr>
                    <w:t>.09</w:t>
                  </w:r>
                  <w:r>
                    <w:rPr>
                      <w:lang w:eastAsia="en-US"/>
                    </w:rPr>
                    <w:t>%</w:t>
                  </w:r>
                </w:p>
                <w:p w14:paraId="14EB0EFD" w14:textId="263E9145" w:rsidR="005B4860" w:rsidRDefault="00B469BA" w:rsidP="005B4860">
                  <w:pPr>
                    <w:spacing w:before="60"/>
                    <w:rPr>
                      <w:lang w:eastAsia="en-US"/>
                    </w:rPr>
                  </w:pPr>
                  <w:r>
                    <w:rPr>
                      <w:lang w:eastAsia="en-US"/>
                    </w:rPr>
                    <w:t>National attendance for 202</w:t>
                  </w:r>
                  <w:r w:rsidR="00BA6571">
                    <w:rPr>
                      <w:lang w:eastAsia="en-US"/>
                    </w:rPr>
                    <w:t>3</w:t>
                  </w:r>
                  <w:r>
                    <w:rPr>
                      <w:lang w:eastAsia="en-US"/>
                    </w:rPr>
                    <w:t xml:space="preserve"> – 202</w:t>
                  </w:r>
                  <w:r w:rsidR="00BA6571">
                    <w:rPr>
                      <w:lang w:eastAsia="en-US"/>
                    </w:rPr>
                    <w:t>4</w:t>
                  </w:r>
                  <w:r>
                    <w:rPr>
                      <w:lang w:eastAsia="en-US"/>
                    </w:rPr>
                    <w:t xml:space="preserve"> – 92.</w:t>
                  </w:r>
                  <w:r w:rsidR="00BA6571">
                    <w:rPr>
                      <w:lang w:eastAsia="en-US"/>
                    </w:rPr>
                    <w:t>6</w:t>
                  </w:r>
                  <w:r>
                    <w:rPr>
                      <w:lang w:eastAsia="en-US"/>
                    </w:rPr>
                    <w:t>%</w:t>
                  </w:r>
                </w:p>
                <w:p w14:paraId="02CD69E9" w14:textId="52C1B2FB" w:rsidR="00B469BA" w:rsidRDefault="00B469BA" w:rsidP="005B4860">
                  <w:pPr>
                    <w:spacing w:before="60"/>
                    <w:rPr>
                      <w:lang w:eastAsia="en-US"/>
                    </w:rPr>
                  </w:pPr>
                  <w:r>
                    <w:rPr>
                      <w:lang w:eastAsia="en-US"/>
                    </w:rPr>
                    <w:t xml:space="preserve">Attendance for disadvantaged pupils at Highters Heath </w:t>
                  </w:r>
                  <w:r w:rsidR="000375CC">
                    <w:rPr>
                      <w:lang w:eastAsia="en-US"/>
                    </w:rPr>
                    <w:t>–</w:t>
                  </w:r>
                  <w:r>
                    <w:rPr>
                      <w:lang w:eastAsia="en-US"/>
                    </w:rPr>
                    <w:t xml:space="preserve"> </w:t>
                  </w:r>
                  <w:r w:rsidR="000375CC">
                    <w:rPr>
                      <w:lang w:eastAsia="en-US"/>
                    </w:rPr>
                    <w:t>92.</w:t>
                  </w:r>
                  <w:r w:rsidR="00F525BC">
                    <w:rPr>
                      <w:lang w:eastAsia="en-US"/>
                    </w:rPr>
                    <w:t>6</w:t>
                  </w:r>
                  <w:r w:rsidR="000375CC">
                    <w:rPr>
                      <w:lang w:eastAsia="en-US"/>
                    </w:rPr>
                    <w:t>%</w:t>
                  </w:r>
                </w:p>
              </w:tc>
              <w:tc>
                <w:tcPr>
                  <w:tcW w:w="3089" w:type="dxa"/>
                </w:tcPr>
                <w:p w14:paraId="1D64B5DC" w14:textId="2A09D484" w:rsidR="005B4860" w:rsidRDefault="00B469BA" w:rsidP="005B4860">
                  <w:pPr>
                    <w:spacing w:before="60"/>
                    <w:rPr>
                      <w:lang w:eastAsia="en-US"/>
                    </w:rPr>
                  </w:pPr>
                  <w:r>
                    <w:rPr>
                      <w:lang w:eastAsia="en-US"/>
                    </w:rPr>
                    <w:t>Attendance will remain a priority at Highters Heath.</w:t>
                  </w:r>
                </w:p>
              </w:tc>
            </w:tr>
          </w:tbl>
          <w:p w14:paraId="5023926C" w14:textId="42677EF0" w:rsidR="004A0633" w:rsidRPr="004A0633" w:rsidRDefault="004A0633" w:rsidP="00242093">
            <w:pPr>
              <w:spacing w:before="60"/>
              <w:rPr>
                <w:lang w:eastAsia="en-US"/>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0CE9884" w:rsidR="00E66558" w:rsidRDefault="00A67F22">
            <w:pPr>
              <w:pStyle w:val="TableRow"/>
            </w:pPr>
            <w:proofErr w:type="spellStart"/>
            <w:r>
              <w:t>Wellcomm</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1D1D2B0" w:rsidR="00E66558" w:rsidRDefault="00A67F22">
            <w:pPr>
              <w:pStyle w:val="TableRowCentered"/>
              <w:jc w:val="left"/>
            </w:pPr>
            <w:r>
              <w:t>GL Assessment</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89F43AB" w:rsidR="00E66558" w:rsidRDefault="00A67F22">
            <w:pPr>
              <w:pStyle w:val="TableRow"/>
            </w:pPr>
            <w:r>
              <w:t>TT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D065A9F" w:rsidR="00E66558" w:rsidRDefault="00A67F22">
            <w:pPr>
              <w:pStyle w:val="TableRowCentered"/>
              <w:jc w:val="left"/>
            </w:pPr>
            <w:r>
              <w:t>TT Rockstars</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4B6C2076" w:rsidR="00ED5108" w:rsidRDefault="00F97B1D">
            <w:r>
              <w:t>N/A</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2046F99" w:rsidR="00ED5108" w:rsidRDefault="00F97B1D">
            <w:r>
              <w:t>N/A</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6"/>
      <w:bookmarkEnd w:id="17"/>
      <w:bookmarkEnd w:id="18"/>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BD2D7" w14:textId="77777777" w:rsidR="00FF5D84" w:rsidRDefault="00FF5D84">
      <w:pPr>
        <w:spacing w:after="0" w:line="240" w:lineRule="auto"/>
      </w:pPr>
      <w:r>
        <w:separator/>
      </w:r>
    </w:p>
  </w:endnote>
  <w:endnote w:type="continuationSeparator" w:id="0">
    <w:p w14:paraId="68AC7997" w14:textId="77777777" w:rsidR="00FF5D84" w:rsidRDefault="00FF5D84">
      <w:pPr>
        <w:spacing w:after="0" w:line="240" w:lineRule="auto"/>
      </w:pPr>
      <w:r>
        <w:continuationSeparator/>
      </w:r>
    </w:p>
  </w:endnote>
  <w:endnote w:type="continuationNotice" w:id="1">
    <w:p w14:paraId="0BD4B891" w14:textId="77777777" w:rsidR="00FF5D84" w:rsidRDefault="00FF5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A0A8B" w14:textId="77777777" w:rsidR="00FF5D84" w:rsidRDefault="00FF5D84">
      <w:pPr>
        <w:spacing w:after="0" w:line="240" w:lineRule="auto"/>
      </w:pPr>
      <w:r>
        <w:separator/>
      </w:r>
    </w:p>
  </w:footnote>
  <w:footnote w:type="continuationSeparator" w:id="0">
    <w:p w14:paraId="54C64DD2" w14:textId="77777777" w:rsidR="00FF5D84" w:rsidRDefault="00FF5D84">
      <w:pPr>
        <w:spacing w:after="0" w:line="240" w:lineRule="auto"/>
      </w:pPr>
      <w:r>
        <w:continuationSeparator/>
      </w:r>
    </w:p>
  </w:footnote>
  <w:footnote w:type="continuationNotice" w:id="1">
    <w:p w14:paraId="793073A8" w14:textId="77777777" w:rsidR="00FF5D84" w:rsidRDefault="00FF5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1C9F"/>
    <w:multiLevelType w:val="hybridMultilevel"/>
    <w:tmpl w:val="32BCB20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EDF35DC"/>
    <w:multiLevelType w:val="hybridMultilevel"/>
    <w:tmpl w:val="F5F8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126EB"/>
    <w:multiLevelType w:val="hybridMultilevel"/>
    <w:tmpl w:val="9880E068"/>
    <w:lvl w:ilvl="0" w:tplc="A328E752">
      <w:start w:val="1"/>
      <w:numFmt w:val="bullet"/>
      <w:lvlText w:val="•"/>
      <w:lvlJc w:val="left"/>
      <w:pPr>
        <w:ind w:left="57"/>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B3EA8896">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55841242">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B922E0B8">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B582E6D4">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FCF27668">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D82EFE70">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B3869994">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31AAC4D4">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 w15:restartNumberingAfterBreak="0">
    <w:nsid w:val="0F236DBE"/>
    <w:multiLevelType w:val="hybridMultilevel"/>
    <w:tmpl w:val="AF3400FC"/>
    <w:lvl w:ilvl="0" w:tplc="1F40423C">
      <w:start w:val="1"/>
      <w:numFmt w:val="bullet"/>
      <w:lvlText w:val="•"/>
      <w:lvlJc w:val="left"/>
      <w:pPr>
        <w:ind w:left="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6C268C08">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A7F4A72A">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86E80F90">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510EFB8A">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62AAB1CE">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A1A49828">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B0D6B836">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91F614C4">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4" w15:restartNumberingAfterBreak="0">
    <w:nsid w:val="111D3AC1"/>
    <w:multiLevelType w:val="hybridMultilevel"/>
    <w:tmpl w:val="90C6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BD465B"/>
    <w:multiLevelType w:val="hybridMultilevel"/>
    <w:tmpl w:val="C172EC7A"/>
    <w:lvl w:ilvl="0" w:tplc="A328E752">
      <w:start w:val="1"/>
      <w:numFmt w:val="bullet"/>
      <w:lvlText w:val="•"/>
      <w:lvlJc w:val="left"/>
      <w:pPr>
        <w:ind w:left="57"/>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FDE3AC1"/>
    <w:multiLevelType w:val="hybridMultilevel"/>
    <w:tmpl w:val="7C1CAFA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2BF35FF"/>
    <w:multiLevelType w:val="hybridMultilevel"/>
    <w:tmpl w:val="A6C0AEE8"/>
    <w:lvl w:ilvl="0" w:tplc="08090001">
      <w:start w:val="1"/>
      <w:numFmt w:val="bullet"/>
      <w:lvlText w:val=""/>
      <w:lvlJc w:val="left"/>
      <w:pPr>
        <w:ind w:left="0"/>
      </w:pPr>
      <w:rPr>
        <w:rFonts w:ascii="Symbol" w:hAnsi="Symbol" w:hint="default"/>
        <w:b w:val="0"/>
        <w:i w:val="0"/>
        <w:strike w:val="0"/>
        <w:dstrike w:val="0"/>
        <w:color w:val="0D0D0D"/>
        <w:sz w:val="24"/>
        <w:szCs w:val="24"/>
        <w:u w:val="none" w:color="000000"/>
        <w:bdr w:val="none" w:sz="0" w:space="0" w:color="auto"/>
        <w:shd w:val="clear" w:color="auto" w:fill="auto"/>
        <w:vertAlign w:val="baseline"/>
      </w:rPr>
    </w:lvl>
    <w:lvl w:ilvl="1" w:tplc="FFFFFFFF">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FFFFFFFF">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FFFFFFFF">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FFFFFFFF">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FFFFFFFF">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FFFFFFFF">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FFFFFFFF">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FFFFFFFF">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799597C"/>
    <w:multiLevelType w:val="hybridMultilevel"/>
    <w:tmpl w:val="84065B48"/>
    <w:lvl w:ilvl="0" w:tplc="2C623A20">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392EF2BC">
      <w:start w:val="1"/>
      <w:numFmt w:val="bullet"/>
      <w:lvlText w:val="o"/>
      <w:lvlJc w:val="left"/>
      <w:pPr>
        <w:ind w:left="155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C1D219D0">
      <w:start w:val="1"/>
      <w:numFmt w:val="bullet"/>
      <w:lvlText w:val="▪"/>
      <w:lvlJc w:val="left"/>
      <w:pPr>
        <w:ind w:left="22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C47431A8">
      <w:start w:val="1"/>
      <w:numFmt w:val="bullet"/>
      <w:lvlText w:val="•"/>
      <w:lvlJc w:val="left"/>
      <w:pPr>
        <w:ind w:left="29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4118ABF4">
      <w:start w:val="1"/>
      <w:numFmt w:val="bullet"/>
      <w:lvlText w:val="o"/>
      <w:lvlJc w:val="left"/>
      <w:pPr>
        <w:ind w:left="371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51DA99E2">
      <w:start w:val="1"/>
      <w:numFmt w:val="bullet"/>
      <w:lvlText w:val="▪"/>
      <w:lvlJc w:val="left"/>
      <w:pPr>
        <w:ind w:left="443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DFFEC614">
      <w:start w:val="1"/>
      <w:numFmt w:val="bullet"/>
      <w:lvlText w:val="•"/>
      <w:lvlJc w:val="left"/>
      <w:pPr>
        <w:ind w:left="51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855CA2B8">
      <w:start w:val="1"/>
      <w:numFmt w:val="bullet"/>
      <w:lvlText w:val="o"/>
      <w:lvlJc w:val="left"/>
      <w:pPr>
        <w:ind w:left="587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F7AC3506">
      <w:start w:val="1"/>
      <w:numFmt w:val="bullet"/>
      <w:lvlText w:val="▪"/>
      <w:lvlJc w:val="left"/>
      <w:pPr>
        <w:ind w:left="6591"/>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14" w15:restartNumberingAfterBreak="0">
    <w:nsid w:val="279C3C51"/>
    <w:multiLevelType w:val="hybridMultilevel"/>
    <w:tmpl w:val="7DF47884"/>
    <w:lvl w:ilvl="0" w:tplc="F3EC55F4">
      <w:start w:val="1"/>
      <w:numFmt w:val="bullet"/>
      <w:lvlText w:val="•"/>
      <w:lvlJc w:val="left"/>
      <w:pPr>
        <w:ind w:left="8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C53C372A">
      <w:start w:val="1"/>
      <w:numFmt w:val="bullet"/>
      <w:lvlText w:val="o"/>
      <w:lvlJc w:val="left"/>
      <w:pPr>
        <w:ind w:left="120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9BD006CC">
      <w:start w:val="1"/>
      <w:numFmt w:val="bullet"/>
      <w:lvlText w:val="▪"/>
      <w:lvlJc w:val="left"/>
      <w:pPr>
        <w:ind w:left="192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21CABE3A">
      <w:start w:val="1"/>
      <w:numFmt w:val="bullet"/>
      <w:lvlText w:val="•"/>
      <w:lvlJc w:val="left"/>
      <w:pPr>
        <w:ind w:left="264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35709828">
      <w:start w:val="1"/>
      <w:numFmt w:val="bullet"/>
      <w:lvlText w:val="o"/>
      <w:lvlJc w:val="left"/>
      <w:pPr>
        <w:ind w:left="336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D96EEB5A">
      <w:start w:val="1"/>
      <w:numFmt w:val="bullet"/>
      <w:lvlText w:val="▪"/>
      <w:lvlJc w:val="left"/>
      <w:pPr>
        <w:ind w:left="408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69B6D3C2">
      <w:start w:val="1"/>
      <w:numFmt w:val="bullet"/>
      <w:lvlText w:val="•"/>
      <w:lvlJc w:val="left"/>
      <w:pPr>
        <w:ind w:left="480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57362776">
      <w:start w:val="1"/>
      <w:numFmt w:val="bullet"/>
      <w:lvlText w:val="o"/>
      <w:lvlJc w:val="left"/>
      <w:pPr>
        <w:ind w:left="552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36363B0E">
      <w:start w:val="1"/>
      <w:numFmt w:val="bullet"/>
      <w:lvlText w:val="▪"/>
      <w:lvlJc w:val="left"/>
      <w:pPr>
        <w:ind w:left="624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5" w15:restartNumberingAfterBreak="0">
    <w:nsid w:val="27CD192D"/>
    <w:multiLevelType w:val="hybridMultilevel"/>
    <w:tmpl w:val="1A0C7F80"/>
    <w:lvl w:ilvl="0" w:tplc="D902AA4E">
      <w:start w:val="1"/>
      <w:numFmt w:val="bullet"/>
      <w:lvlText w:val="•"/>
      <w:lvlJc w:val="left"/>
      <w:pPr>
        <w:ind w:left="5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FF9A48AE">
      <w:start w:val="1"/>
      <w:numFmt w:val="bullet"/>
      <w:lvlText w:val="o"/>
      <w:lvlJc w:val="left"/>
      <w:pPr>
        <w:ind w:left="12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A10249F6">
      <w:start w:val="1"/>
      <w:numFmt w:val="bullet"/>
      <w:lvlText w:val="▪"/>
      <w:lvlJc w:val="left"/>
      <w:pPr>
        <w:ind w:left="19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F7E0FEE8">
      <w:start w:val="1"/>
      <w:numFmt w:val="bullet"/>
      <w:lvlText w:val="•"/>
      <w:lvlJc w:val="left"/>
      <w:pPr>
        <w:ind w:left="26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9D1E2F1A">
      <w:start w:val="1"/>
      <w:numFmt w:val="bullet"/>
      <w:lvlText w:val="o"/>
      <w:lvlJc w:val="left"/>
      <w:pPr>
        <w:ind w:left="340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553EAEF6">
      <w:start w:val="1"/>
      <w:numFmt w:val="bullet"/>
      <w:lvlText w:val="▪"/>
      <w:lvlJc w:val="left"/>
      <w:pPr>
        <w:ind w:left="412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A12CABEA">
      <w:start w:val="1"/>
      <w:numFmt w:val="bullet"/>
      <w:lvlText w:val="•"/>
      <w:lvlJc w:val="left"/>
      <w:pPr>
        <w:ind w:left="484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C8C6F5FE">
      <w:start w:val="1"/>
      <w:numFmt w:val="bullet"/>
      <w:lvlText w:val="o"/>
      <w:lvlJc w:val="left"/>
      <w:pPr>
        <w:ind w:left="55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A488641E">
      <w:start w:val="1"/>
      <w:numFmt w:val="bullet"/>
      <w:lvlText w:val="▪"/>
      <w:lvlJc w:val="left"/>
      <w:pPr>
        <w:ind w:left="628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6" w15:restartNumberingAfterBreak="0">
    <w:nsid w:val="2AC50952"/>
    <w:multiLevelType w:val="hybridMultilevel"/>
    <w:tmpl w:val="ED4E7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8AC544A"/>
    <w:multiLevelType w:val="hybridMultilevel"/>
    <w:tmpl w:val="E3F4AC8E"/>
    <w:lvl w:ilvl="0" w:tplc="A328E752">
      <w:start w:val="1"/>
      <w:numFmt w:val="bullet"/>
      <w:lvlText w:val="•"/>
      <w:lvlJc w:val="left"/>
      <w:pPr>
        <w:ind w:left="114"/>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3EB02B59"/>
    <w:multiLevelType w:val="hybridMultilevel"/>
    <w:tmpl w:val="41FC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22791"/>
    <w:multiLevelType w:val="hybridMultilevel"/>
    <w:tmpl w:val="2622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86F08"/>
    <w:multiLevelType w:val="hybridMultilevel"/>
    <w:tmpl w:val="EB640A34"/>
    <w:lvl w:ilvl="0" w:tplc="08090001">
      <w:start w:val="1"/>
      <w:numFmt w:val="bullet"/>
      <w:lvlText w:val=""/>
      <w:lvlJc w:val="left"/>
      <w:pPr>
        <w:ind w:left="57"/>
      </w:pPr>
      <w:rPr>
        <w:rFonts w:ascii="Symbol" w:hAnsi="Symbol" w:hint="default"/>
        <w:b w:val="0"/>
        <w:i w:val="0"/>
        <w:strike w:val="0"/>
        <w:dstrike w:val="0"/>
        <w:color w:val="0D0D0D"/>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3112AB"/>
    <w:multiLevelType w:val="hybridMultilevel"/>
    <w:tmpl w:val="AD7AA32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20E5CF1"/>
    <w:multiLevelType w:val="hybridMultilevel"/>
    <w:tmpl w:val="D932CF06"/>
    <w:lvl w:ilvl="0" w:tplc="F8F0D8BE">
      <w:start w:val="1"/>
      <w:numFmt w:val="bullet"/>
      <w:lvlText w:val="•"/>
      <w:lvlJc w:val="left"/>
      <w:pPr>
        <w:ind w:left="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68B67078">
      <w:start w:val="1"/>
      <w:numFmt w:val="bullet"/>
      <w:lvlText w:val="o"/>
      <w:lvlJc w:val="left"/>
      <w:pPr>
        <w:ind w:left="12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25BE49E8">
      <w:start w:val="1"/>
      <w:numFmt w:val="bullet"/>
      <w:lvlText w:val="▪"/>
      <w:lvlJc w:val="left"/>
      <w:pPr>
        <w:ind w:left="19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9C6ED7C2">
      <w:start w:val="1"/>
      <w:numFmt w:val="bullet"/>
      <w:lvlText w:val="•"/>
      <w:lvlJc w:val="left"/>
      <w:pPr>
        <w:ind w:left="26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D69EFD3C">
      <w:start w:val="1"/>
      <w:numFmt w:val="bullet"/>
      <w:lvlText w:val="o"/>
      <w:lvlJc w:val="left"/>
      <w:pPr>
        <w:ind w:left="34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AE2C60C4">
      <w:start w:val="1"/>
      <w:numFmt w:val="bullet"/>
      <w:lvlText w:val="▪"/>
      <w:lvlJc w:val="left"/>
      <w:pPr>
        <w:ind w:left="41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A6CED74C">
      <w:start w:val="1"/>
      <w:numFmt w:val="bullet"/>
      <w:lvlText w:val="•"/>
      <w:lvlJc w:val="left"/>
      <w:pPr>
        <w:ind w:left="48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11D6B1BA">
      <w:start w:val="1"/>
      <w:numFmt w:val="bullet"/>
      <w:lvlText w:val="o"/>
      <w:lvlJc w:val="left"/>
      <w:pPr>
        <w:ind w:left="55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C2E07C54">
      <w:start w:val="1"/>
      <w:numFmt w:val="bullet"/>
      <w:lvlText w:val="▪"/>
      <w:lvlJc w:val="left"/>
      <w:pPr>
        <w:ind w:left="62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31" w15:restartNumberingAfterBreak="0">
    <w:nsid w:val="731130A3"/>
    <w:multiLevelType w:val="hybridMultilevel"/>
    <w:tmpl w:val="24B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11"/>
  </w:num>
  <w:num w:numId="2" w16cid:durableId="1628730595">
    <w:abstractNumId w:val="7"/>
  </w:num>
  <w:num w:numId="3" w16cid:durableId="497188144">
    <w:abstractNumId w:val="12"/>
  </w:num>
  <w:num w:numId="4" w16cid:durableId="1138914232">
    <w:abstractNumId w:val="17"/>
  </w:num>
  <w:num w:numId="5" w16cid:durableId="857932188">
    <w:abstractNumId w:val="5"/>
  </w:num>
  <w:num w:numId="6" w16cid:durableId="798501009">
    <w:abstractNumId w:val="20"/>
  </w:num>
  <w:num w:numId="7" w16cid:durableId="1210847263">
    <w:abstractNumId w:val="26"/>
  </w:num>
  <w:num w:numId="8" w16cid:durableId="982348153">
    <w:abstractNumId w:val="32"/>
  </w:num>
  <w:num w:numId="9" w16cid:durableId="1529290868">
    <w:abstractNumId w:val="28"/>
  </w:num>
  <w:num w:numId="10" w16cid:durableId="1171066271">
    <w:abstractNumId w:val="27"/>
  </w:num>
  <w:num w:numId="11" w16cid:durableId="1453552857">
    <w:abstractNumId w:val="9"/>
  </w:num>
  <w:num w:numId="12" w16cid:durableId="1812097430">
    <w:abstractNumId w:val="29"/>
  </w:num>
  <w:num w:numId="13" w16cid:durableId="42288650">
    <w:abstractNumId w:val="24"/>
  </w:num>
  <w:num w:numId="14" w16cid:durableId="1721712531">
    <w:abstractNumId w:val="21"/>
  </w:num>
  <w:num w:numId="15" w16cid:durableId="243730371">
    <w:abstractNumId w:val="13"/>
  </w:num>
  <w:num w:numId="16" w16cid:durableId="470485689">
    <w:abstractNumId w:val="30"/>
  </w:num>
  <w:num w:numId="17" w16cid:durableId="577833396">
    <w:abstractNumId w:val="14"/>
  </w:num>
  <w:num w:numId="18" w16cid:durableId="1780946231">
    <w:abstractNumId w:val="1"/>
  </w:num>
  <w:num w:numId="19" w16cid:durableId="1784226971">
    <w:abstractNumId w:val="4"/>
  </w:num>
  <w:num w:numId="20" w16cid:durableId="518852239">
    <w:abstractNumId w:val="19"/>
  </w:num>
  <w:num w:numId="21" w16cid:durableId="1046182204">
    <w:abstractNumId w:val="22"/>
  </w:num>
  <w:num w:numId="22" w16cid:durableId="2012217744">
    <w:abstractNumId w:val="15"/>
  </w:num>
  <w:num w:numId="23" w16cid:durableId="2006665460">
    <w:abstractNumId w:val="31"/>
  </w:num>
  <w:num w:numId="24" w16cid:durableId="806317225">
    <w:abstractNumId w:val="10"/>
  </w:num>
  <w:num w:numId="25" w16cid:durableId="1571846983">
    <w:abstractNumId w:val="16"/>
  </w:num>
  <w:num w:numId="26" w16cid:durableId="634873408">
    <w:abstractNumId w:val="3"/>
  </w:num>
  <w:num w:numId="27" w16cid:durableId="1225877207">
    <w:abstractNumId w:val="2"/>
  </w:num>
  <w:num w:numId="28" w16cid:durableId="750930209">
    <w:abstractNumId w:val="18"/>
  </w:num>
  <w:num w:numId="29" w16cid:durableId="248393584">
    <w:abstractNumId w:val="6"/>
  </w:num>
  <w:num w:numId="30" w16cid:durableId="1281305545">
    <w:abstractNumId w:val="23"/>
  </w:num>
  <w:num w:numId="31" w16cid:durableId="1291327662">
    <w:abstractNumId w:val="0"/>
  </w:num>
  <w:num w:numId="32" w16cid:durableId="929385639">
    <w:abstractNumId w:val="25"/>
  </w:num>
  <w:num w:numId="33" w16cid:durableId="678117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375CC"/>
    <w:rsid w:val="00040A7D"/>
    <w:rsid w:val="000452EB"/>
    <w:rsid w:val="00045603"/>
    <w:rsid w:val="000463AE"/>
    <w:rsid w:val="000507A3"/>
    <w:rsid w:val="00060A62"/>
    <w:rsid w:val="00064366"/>
    <w:rsid w:val="00066B73"/>
    <w:rsid w:val="00071481"/>
    <w:rsid w:val="00075FAE"/>
    <w:rsid w:val="00082F38"/>
    <w:rsid w:val="000837DB"/>
    <w:rsid w:val="0008384B"/>
    <w:rsid w:val="000913F4"/>
    <w:rsid w:val="00092989"/>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471A"/>
    <w:rsid w:val="00216C8A"/>
    <w:rsid w:val="00226317"/>
    <w:rsid w:val="00231539"/>
    <w:rsid w:val="00242093"/>
    <w:rsid w:val="00243F22"/>
    <w:rsid w:val="00247ED5"/>
    <w:rsid w:val="002523E3"/>
    <w:rsid w:val="00252AD6"/>
    <w:rsid w:val="002542CE"/>
    <w:rsid w:val="00257A4E"/>
    <w:rsid w:val="00266FA5"/>
    <w:rsid w:val="00274899"/>
    <w:rsid w:val="00276FBA"/>
    <w:rsid w:val="00277665"/>
    <w:rsid w:val="002837AE"/>
    <w:rsid w:val="002920F4"/>
    <w:rsid w:val="002940F3"/>
    <w:rsid w:val="00295842"/>
    <w:rsid w:val="002B3574"/>
    <w:rsid w:val="002B6B74"/>
    <w:rsid w:val="002C6AE7"/>
    <w:rsid w:val="002D2D4B"/>
    <w:rsid w:val="002D3805"/>
    <w:rsid w:val="002E4E5C"/>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57942"/>
    <w:rsid w:val="0036277A"/>
    <w:rsid w:val="00366AB0"/>
    <w:rsid w:val="003700E8"/>
    <w:rsid w:val="00370D93"/>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5B45"/>
    <w:rsid w:val="00426217"/>
    <w:rsid w:val="00431A80"/>
    <w:rsid w:val="00435A89"/>
    <w:rsid w:val="00452267"/>
    <w:rsid w:val="00453307"/>
    <w:rsid w:val="00455501"/>
    <w:rsid w:val="00455A02"/>
    <w:rsid w:val="00457E36"/>
    <w:rsid w:val="00460BD3"/>
    <w:rsid w:val="00462F8F"/>
    <w:rsid w:val="004708F2"/>
    <w:rsid w:val="004724DE"/>
    <w:rsid w:val="004770FE"/>
    <w:rsid w:val="0048157F"/>
    <w:rsid w:val="00481D56"/>
    <w:rsid w:val="004828C6"/>
    <w:rsid w:val="00490408"/>
    <w:rsid w:val="004A0633"/>
    <w:rsid w:val="004A4C45"/>
    <w:rsid w:val="004B0485"/>
    <w:rsid w:val="004B0FFB"/>
    <w:rsid w:val="004B428E"/>
    <w:rsid w:val="004B4D0A"/>
    <w:rsid w:val="004B4D37"/>
    <w:rsid w:val="004C42F0"/>
    <w:rsid w:val="004D50C8"/>
    <w:rsid w:val="004D6B72"/>
    <w:rsid w:val="004E0447"/>
    <w:rsid w:val="004E1D73"/>
    <w:rsid w:val="004E72DD"/>
    <w:rsid w:val="004E7597"/>
    <w:rsid w:val="004F4806"/>
    <w:rsid w:val="005025FB"/>
    <w:rsid w:val="00503462"/>
    <w:rsid w:val="0051286E"/>
    <w:rsid w:val="00516021"/>
    <w:rsid w:val="00516457"/>
    <w:rsid w:val="00516641"/>
    <w:rsid w:val="0051729F"/>
    <w:rsid w:val="00520A0C"/>
    <w:rsid w:val="00530E37"/>
    <w:rsid w:val="0053333D"/>
    <w:rsid w:val="00535946"/>
    <w:rsid w:val="005452CF"/>
    <w:rsid w:val="005464A1"/>
    <w:rsid w:val="00546F12"/>
    <w:rsid w:val="0055339C"/>
    <w:rsid w:val="005542CC"/>
    <w:rsid w:val="00560424"/>
    <w:rsid w:val="00562B3C"/>
    <w:rsid w:val="00564E40"/>
    <w:rsid w:val="005750E2"/>
    <w:rsid w:val="0057690E"/>
    <w:rsid w:val="0058313F"/>
    <w:rsid w:val="00585859"/>
    <w:rsid w:val="00586FBC"/>
    <w:rsid w:val="005879C9"/>
    <w:rsid w:val="00594CAD"/>
    <w:rsid w:val="005A1D0B"/>
    <w:rsid w:val="005A3C6B"/>
    <w:rsid w:val="005B1EA5"/>
    <w:rsid w:val="005B4860"/>
    <w:rsid w:val="005C501E"/>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0FC"/>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092E"/>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2E9F"/>
    <w:rsid w:val="00764551"/>
    <w:rsid w:val="00765FC3"/>
    <w:rsid w:val="007677B8"/>
    <w:rsid w:val="00781713"/>
    <w:rsid w:val="00783D5B"/>
    <w:rsid w:val="00785285"/>
    <w:rsid w:val="0078529D"/>
    <w:rsid w:val="00785E77"/>
    <w:rsid w:val="00787DC1"/>
    <w:rsid w:val="00794070"/>
    <w:rsid w:val="007A63CA"/>
    <w:rsid w:val="007A713B"/>
    <w:rsid w:val="007A7DA0"/>
    <w:rsid w:val="007B5ED9"/>
    <w:rsid w:val="007B64E5"/>
    <w:rsid w:val="007C2F04"/>
    <w:rsid w:val="007F06E5"/>
    <w:rsid w:val="007F5B8B"/>
    <w:rsid w:val="00817E9A"/>
    <w:rsid w:val="00826AC6"/>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B6E35"/>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64BEC"/>
    <w:rsid w:val="009702FF"/>
    <w:rsid w:val="00980937"/>
    <w:rsid w:val="00981C1D"/>
    <w:rsid w:val="0099109C"/>
    <w:rsid w:val="00992DAF"/>
    <w:rsid w:val="009936DB"/>
    <w:rsid w:val="00993CFC"/>
    <w:rsid w:val="009A1DC2"/>
    <w:rsid w:val="009A5EEA"/>
    <w:rsid w:val="009B0906"/>
    <w:rsid w:val="009B38F2"/>
    <w:rsid w:val="009B6E4D"/>
    <w:rsid w:val="009B7433"/>
    <w:rsid w:val="009C0914"/>
    <w:rsid w:val="009C27E5"/>
    <w:rsid w:val="009D24A1"/>
    <w:rsid w:val="009D3891"/>
    <w:rsid w:val="009D71E8"/>
    <w:rsid w:val="009E104B"/>
    <w:rsid w:val="009E7DE4"/>
    <w:rsid w:val="009F3837"/>
    <w:rsid w:val="009F3BBD"/>
    <w:rsid w:val="00A022AB"/>
    <w:rsid w:val="00A063DD"/>
    <w:rsid w:val="00A112B5"/>
    <w:rsid w:val="00A14EEA"/>
    <w:rsid w:val="00A33636"/>
    <w:rsid w:val="00A35B05"/>
    <w:rsid w:val="00A44FBB"/>
    <w:rsid w:val="00A50104"/>
    <w:rsid w:val="00A522E0"/>
    <w:rsid w:val="00A52823"/>
    <w:rsid w:val="00A63579"/>
    <w:rsid w:val="00A638AC"/>
    <w:rsid w:val="00A64475"/>
    <w:rsid w:val="00A67F22"/>
    <w:rsid w:val="00A727E5"/>
    <w:rsid w:val="00A748B5"/>
    <w:rsid w:val="00A80A32"/>
    <w:rsid w:val="00A82A98"/>
    <w:rsid w:val="00A82D16"/>
    <w:rsid w:val="00A852F2"/>
    <w:rsid w:val="00A8712A"/>
    <w:rsid w:val="00A95F75"/>
    <w:rsid w:val="00A968DA"/>
    <w:rsid w:val="00A96B83"/>
    <w:rsid w:val="00AA355B"/>
    <w:rsid w:val="00AA42E5"/>
    <w:rsid w:val="00AA67B5"/>
    <w:rsid w:val="00AB24FA"/>
    <w:rsid w:val="00AD7B5A"/>
    <w:rsid w:val="00AE229F"/>
    <w:rsid w:val="00AF5E20"/>
    <w:rsid w:val="00B002FA"/>
    <w:rsid w:val="00B00327"/>
    <w:rsid w:val="00B024B3"/>
    <w:rsid w:val="00B11DE8"/>
    <w:rsid w:val="00B179ED"/>
    <w:rsid w:val="00B20E18"/>
    <w:rsid w:val="00B331E1"/>
    <w:rsid w:val="00B469BA"/>
    <w:rsid w:val="00B5017A"/>
    <w:rsid w:val="00B572C4"/>
    <w:rsid w:val="00B60858"/>
    <w:rsid w:val="00B65088"/>
    <w:rsid w:val="00B74D4E"/>
    <w:rsid w:val="00B80219"/>
    <w:rsid w:val="00B87184"/>
    <w:rsid w:val="00B91453"/>
    <w:rsid w:val="00B92A97"/>
    <w:rsid w:val="00BA19A5"/>
    <w:rsid w:val="00BA6571"/>
    <w:rsid w:val="00BC078B"/>
    <w:rsid w:val="00BC3A7D"/>
    <w:rsid w:val="00BC67F6"/>
    <w:rsid w:val="00BD1EAE"/>
    <w:rsid w:val="00BD2004"/>
    <w:rsid w:val="00BD4B12"/>
    <w:rsid w:val="00BD700D"/>
    <w:rsid w:val="00BE1E30"/>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1C4"/>
    <w:rsid w:val="00D5590D"/>
    <w:rsid w:val="00D618E4"/>
    <w:rsid w:val="00D61DA5"/>
    <w:rsid w:val="00D642A3"/>
    <w:rsid w:val="00D70549"/>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17F2C"/>
    <w:rsid w:val="00E21F56"/>
    <w:rsid w:val="00E3014F"/>
    <w:rsid w:val="00E4286E"/>
    <w:rsid w:val="00E43EAD"/>
    <w:rsid w:val="00E62DCB"/>
    <w:rsid w:val="00E651DD"/>
    <w:rsid w:val="00E66558"/>
    <w:rsid w:val="00E70D81"/>
    <w:rsid w:val="00E726A6"/>
    <w:rsid w:val="00E73418"/>
    <w:rsid w:val="00E77286"/>
    <w:rsid w:val="00E8109E"/>
    <w:rsid w:val="00E86F05"/>
    <w:rsid w:val="00EA3A2A"/>
    <w:rsid w:val="00EB4556"/>
    <w:rsid w:val="00EB64C8"/>
    <w:rsid w:val="00EC1B80"/>
    <w:rsid w:val="00ED4136"/>
    <w:rsid w:val="00ED5108"/>
    <w:rsid w:val="00ED6AE8"/>
    <w:rsid w:val="00EE2CB2"/>
    <w:rsid w:val="00EF3C8F"/>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25BC"/>
    <w:rsid w:val="00F62587"/>
    <w:rsid w:val="00F631A6"/>
    <w:rsid w:val="00F63E9E"/>
    <w:rsid w:val="00F66AA7"/>
    <w:rsid w:val="00F75603"/>
    <w:rsid w:val="00F76843"/>
    <w:rsid w:val="00F776E1"/>
    <w:rsid w:val="00F925EB"/>
    <w:rsid w:val="00F97033"/>
    <w:rsid w:val="00F97B1D"/>
    <w:rsid w:val="00FA6DD0"/>
    <w:rsid w:val="00FC1310"/>
    <w:rsid w:val="00FC28DF"/>
    <w:rsid w:val="00FC3A5B"/>
    <w:rsid w:val="00FD2297"/>
    <w:rsid w:val="00FD6AC6"/>
    <w:rsid w:val="00FE3136"/>
    <w:rsid w:val="00FE50A3"/>
    <w:rsid w:val="00FE5204"/>
    <w:rsid w:val="00FE604C"/>
    <w:rsid w:val="00FF369D"/>
    <w:rsid w:val="00FF5702"/>
    <w:rsid w:val="00FF5D84"/>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029992642">
      <w:bodyDiv w:val="1"/>
      <w:marLeft w:val="0"/>
      <w:marRight w:val="0"/>
      <w:marTop w:val="0"/>
      <w:marBottom w:val="0"/>
      <w:divBdr>
        <w:top w:val="none" w:sz="0" w:space="0" w:color="auto"/>
        <w:left w:val="none" w:sz="0" w:space="0" w:color="auto"/>
        <w:bottom w:val="none" w:sz="0" w:space="0" w:color="auto"/>
        <w:right w:val="none" w:sz="0" w:space="0" w:color="auto"/>
      </w:divBdr>
    </w:div>
    <w:div w:id="120502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guidance-for-teachers/using-pupil-premi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12</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Julie Aulton</cp:lastModifiedBy>
  <cp:revision>31</cp:revision>
  <cp:lastPrinted>2014-09-18T05:26:00Z</cp:lastPrinted>
  <dcterms:created xsi:type="dcterms:W3CDTF">2024-12-16T20:40:00Z</dcterms:created>
  <dcterms:modified xsi:type="dcterms:W3CDTF">2024-12-17T15:31:00Z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